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96B1" w14:textId="5253EEEA" w:rsidR="00187DF5" w:rsidRPr="00E05CBF" w:rsidRDefault="00145FA7" w:rsidP="00187DF5">
      <w:pPr>
        <w:pStyle w:val="ExhibitHead1"/>
        <w:jc w:val="center"/>
        <w:rPr>
          <w:rStyle w:val="Strong"/>
          <w:b/>
          <w:bCs/>
          <w:sz w:val="28"/>
          <w:szCs w:val="28"/>
        </w:rPr>
      </w:pPr>
      <w:r w:rsidRPr="00E05CBF">
        <w:rPr>
          <w:rStyle w:val="Strong"/>
          <w:b/>
          <w:bCs/>
          <w:sz w:val="28"/>
          <w:szCs w:val="28"/>
        </w:rPr>
        <w:t>SCOPE OF WORK</w:t>
      </w:r>
    </w:p>
    <w:p w14:paraId="5AFA76C4" w14:textId="1B89C364" w:rsidR="00984212" w:rsidRPr="00E05CBF" w:rsidRDefault="00984212" w:rsidP="00984212">
      <w:pPr>
        <w:pStyle w:val="ExhibitHead1"/>
        <w:rPr>
          <w:sz w:val="22"/>
          <w:szCs w:val="22"/>
        </w:rPr>
      </w:pPr>
      <w:r w:rsidRPr="00E05CBF">
        <w:rPr>
          <w:sz w:val="22"/>
          <w:szCs w:val="22"/>
        </w:rPr>
        <w:t>Task 1: Project Administration</w:t>
      </w:r>
    </w:p>
    <w:p w14:paraId="55AB3097" w14:textId="77777777" w:rsidR="00984212" w:rsidRPr="00187DF5" w:rsidRDefault="00984212" w:rsidP="00984212">
      <w:pPr>
        <w:pStyle w:val="BodyTextBeforeList"/>
        <w:rPr>
          <w:szCs w:val="22"/>
        </w:rPr>
      </w:pPr>
      <w:r w:rsidRPr="00187DF5">
        <w:rPr>
          <w:rStyle w:val="Strong"/>
          <w:szCs w:val="22"/>
        </w:rPr>
        <w:t>Objective:</w:t>
      </w:r>
      <w:r w:rsidRPr="00187DF5">
        <w:rPr>
          <w:szCs w:val="22"/>
        </w:rPr>
        <w:t xml:space="preserve"> To manage all administrative functions required to support the Clean Rivers Program (CRP) contract, including:</w:t>
      </w:r>
    </w:p>
    <w:p w14:paraId="23740692"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Informative and timely progress reports.</w:t>
      </w:r>
    </w:p>
    <w:p w14:paraId="352CD03A"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Participation in conference calls.</w:t>
      </w:r>
    </w:p>
    <w:p w14:paraId="133D1BF6"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Participation at CRP meetings.</w:t>
      </w:r>
    </w:p>
    <w:p w14:paraId="2A666C82"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Timely and accurate reimbursement forms with adequate documentation.</w:t>
      </w:r>
    </w:p>
    <w:p w14:paraId="365D7D49"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Efficient cost control to ensure expenses are allowable and applicable.</w:t>
      </w:r>
    </w:p>
    <w:p w14:paraId="3B9C2CFE"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Responsibility for procurement and oversight of subcontractors.</w:t>
      </w:r>
    </w:p>
    <w:p w14:paraId="7176CD15"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Participation in fiscal monitoring reviews.</w:t>
      </w:r>
    </w:p>
    <w:p w14:paraId="75A6A366"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Timely and accurate deliverables that meet the intent of the FY2026-2027 CRP Guidance.</w:t>
      </w:r>
    </w:p>
    <w:p w14:paraId="14D77B2A"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Adherence to TCEQ contract provisions.</w:t>
      </w:r>
    </w:p>
    <w:p w14:paraId="299CBE85"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Detailed and reasonable work plan development.</w:t>
      </w:r>
    </w:p>
    <w:p w14:paraId="7D45B9FF"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 xml:space="preserve">Financial reporting and budget monitoring. </w:t>
      </w:r>
    </w:p>
    <w:p w14:paraId="76FD68FD" w14:textId="77777777" w:rsidR="00984212" w:rsidRPr="00187DF5" w:rsidRDefault="00984212" w:rsidP="00984212">
      <w:pPr>
        <w:pStyle w:val="ListBullet"/>
        <w:tabs>
          <w:tab w:val="clear" w:pos="360"/>
        </w:tabs>
        <w:spacing w:after="80" w:line="264" w:lineRule="auto"/>
        <w:ind w:left="605"/>
        <w:rPr>
          <w:sz w:val="22"/>
          <w:szCs w:val="22"/>
        </w:rPr>
      </w:pPr>
      <w:r w:rsidRPr="00187DF5">
        <w:rPr>
          <w:sz w:val="22"/>
          <w:szCs w:val="22"/>
        </w:rPr>
        <w:t>Training to ensure personnel are properly prepared to conduct work.</w:t>
      </w:r>
    </w:p>
    <w:p w14:paraId="72B1ADC4" w14:textId="1D6133FE" w:rsidR="00984212" w:rsidRPr="00187DF5" w:rsidRDefault="00984212" w:rsidP="00AA5C91">
      <w:pPr>
        <w:pStyle w:val="BodyTextafterTableorList"/>
        <w:spacing w:line="240" w:lineRule="auto"/>
      </w:pPr>
      <w:r w:rsidRPr="00187DF5">
        <w:rPr>
          <w:rStyle w:val="Strong"/>
        </w:rPr>
        <w:t>Task Description</w:t>
      </w:r>
      <w:r w:rsidRPr="00187DF5">
        <w:rPr>
          <w:b/>
        </w:rPr>
        <w:t>:</w:t>
      </w:r>
      <w:r w:rsidR="00730D28" w:rsidRPr="00730D28">
        <w:t xml:space="preserve"> </w:t>
      </w:r>
      <w:r w:rsidR="00730D28" w:rsidRPr="00F16EC4">
        <w:t>The Performing Party will maintain complete and accurate records of all costs incurred and appropriately monitor and track all work conducted under this contract. This documentation will be made available for review by TCEQ fiscal monitoring staff upon request.</w:t>
      </w:r>
    </w:p>
    <w:p w14:paraId="25641BC9" w14:textId="77777777" w:rsidR="00984212" w:rsidRPr="00187DF5" w:rsidRDefault="00984212" w:rsidP="00984212">
      <w:pPr>
        <w:pStyle w:val="BodyTextBetweenLists"/>
        <w:rPr>
          <w:szCs w:val="22"/>
        </w:rPr>
      </w:pPr>
      <w:r w:rsidRPr="00187DF5">
        <w:rPr>
          <w:szCs w:val="22"/>
        </w:rPr>
        <w:t>The Performing Party will complete the following subtasks:</w:t>
      </w:r>
    </w:p>
    <w:p w14:paraId="0C8AB0EF" w14:textId="77777777" w:rsidR="00984212" w:rsidRPr="00187DF5" w:rsidRDefault="00984212" w:rsidP="00984212">
      <w:pPr>
        <w:pStyle w:val="BodyText"/>
        <w:rPr>
          <w:sz w:val="22"/>
          <w:szCs w:val="22"/>
        </w:rPr>
      </w:pPr>
      <w:r w:rsidRPr="00187DF5">
        <w:rPr>
          <w:rStyle w:val="Strong"/>
          <w:sz w:val="22"/>
          <w:szCs w:val="22"/>
        </w:rPr>
        <w:t>Progress Reports—</w:t>
      </w:r>
      <w:r w:rsidRPr="00187DF5">
        <w:rPr>
          <w:sz w:val="22"/>
          <w:szCs w:val="22"/>
        </w:rPr>
        <w:t>Progress reports will contain a level of detail sufficient to document the activities which occurred during the appropriate quarter and provide detailed supporting documentation and justification for reimbursement requests. Progress reports will contain a general description of activities, a detailed tracking of deliverables, and the water quality monitoring activities which occurred during the quarter. The Progress Report will be in the format provided in Exhibit 1D of the FY2026-2027 CRP Guidance.</w:t>
      </w:r>
    </w:p>
    <w:p w14:paraId="3FB27C2B" w14:textId="77777777" w:rsidR="00984212" w:rsidRPr="00187DF5" w:rsidRDefault="00984212" w:rsidP="00984212">
      <w:pPr>
        <w:pStyle w:val="BodyText"/>
        <w:rPr>
          <w:sz w:val="22"/>
          <w:szCs w:val="22"/>
        </w:rPr>
      </w:pPr>
      <w:r w:rsidRPr="00187DF5">
        <w:rPr>
          <w:rStyle w:val="Strong"/>
          <w:sz w:val="22"/>
          <w:szCs w:val="22"/>
        </w:rPr>
        <w:t>Reimbursement Requests</w:t>
      </w:r>
      <w:r w:rsidRPr="00187DF5">
        <w:rPr>
          <w:b/>
          <w:sz w:val="22"/>
          <w:szCs w:val="22"/>
        </w:rPr>
        <w:t>—</w:t>
      </w:r>
      <w:r w:rsidRPr="00187DF5">
        <w:rPr>
          <w:sz w:val="22"/>
          <w:szCs w:val="22"/>
        </w:rPr>
        <w:t>A Financial Status Report, Supplemental Forms, and a current Personnel Eligibility List (PEL) will be submitted along with appropriate additional documentation (e.g., subcontractor invoices) on a quarterly basis. An updated Equipment Inventory List will be submitted with the Reimbursement request when changes occur during the quarter. Budget Revision Requests will be made in advance of making changes to the budget.</w:t>
      </w:r>
    </w:p>
    <w:p w14:paraId="3D525211" w14:textId="77777777" w:rsidR="00984212" w:rsidRPr="00187DF5" w:rsidRDefault="00984212" w:rsidP="00984212">
      <w:pPr>
        <w:pStyle w:val="BodyText"/>
        <w:rPr>
          <w:sz w:val="22"/>
          <w:szCs w:val="22"/>
        </w:rPr>
      </w:pPr>
      <w:r w:rsidRPr="00187DF5">
        <w:rPr>
          <w:rStyle w:val="Strong"/>
          <w:sz w:val="22"/>
          <w:szCs w:val="22"/>
        </w:rPr>
        <w:t>Performing Party and Subcontractor Evaluations</w:t>
      </w:r>
      <w:r w:rsidRPr="00187DF5">
        <w:rPr>
          <w:b/>
          <w:sz w:val="22"/>
          <w:szCs w:val="22"/>
        </w:rPr>
        <w:t>—</w:t>
      </w:r>
      <w:r w:rsidRPr="00187DF5">
        <w:rPr>
          <w:sz w:val="22"/>
          <w:szCs w:val="22"/>
        </w:rPr>
        <w:t>An annual self-evaluation and evaluations of subcontractors will be submitted at the end of each fiscal year.</w:t>
      </w:r>
    </w:p>
    <w:p w14:paraId="1A2324DA" w14:textId="77777777" w:rsidR="00984212" w:rsidRPr="00187DF5" w:rsidRDefault="00984212" w:rsidP="00984212">
      <w:pPr>
        <w:pStyle w:val="BodyText"/>
        <w:rPr>
          <w:sz w:val="22"/>
          <w:szCs w:val="22"/>
        </w:rPr>
      </w:pPr>
      <w:r w:rsidRPr="00187DF5">
        <w:rPr>
          <w:rStyle w:val="Strong"/>
          <w:sz w:val="22"/>
          <w:szCs w:val="22"/>
        </w:rPr>
        <w:lastRenderedPageBreak/>
        <w:t>Procurement Procedures Documentation</w:t>
      </w:r>
      <w:r w:rsidRPr="00187DF5">
        <w:rPr>
          <w:b/>
          <w:sz w:val="22"/>
          <w:szCs w:val="22"/>
        </w:rPr>
        <w:t>—</w:t>
      </w:r>
      <w:r w:rsidRPr="00187DF5">
        <w:rPr>
          <w:sz w:val="22"/>
          <w:szCs w:val="22"/>
        </w:rPr>
        <w:t>Documentation of the procurement process used to solicit, evaluate, pay, and oversee subcontractors, as specified in the FY2026-2027 CRP Guidance, will be developed. This documentation will be maintained in-house and will be made available for review by TCEQ staff upon request. For each subcontract made in association with this contract, the Performing Party will provide a memo describing the procurement method used and a summary of the work to be performed to the TCEQ CRP project manager. In addition, a Procurement System Certification will be submitted with the supporting documentation required with the FY2026-2027 work plan, in accordance with the FY2026-2027 CRP Guidance.</w:t>
      </w:r>
    </w:p>
    <w:p w14:paraId="51498E65" w14:textId="77777777" w:rsidR="00984212" w:rsidRPr="00187DF5" w:rsidRDefault="00984212" w:rsidP="00984212">
      <w:pPr>
        <w:pStyle w:val="BodyText"/>
        <w:rPr>
          <w:sz w:val="22"/>
          <w:szCs w:val="22"/>
        </w:rPr>
      </w:pPr>
      <w:r w:rsidRPr="00187DF5">
        <w:rPr>
          <w:rStyle w:val="Strong"/>
          <w:sz w:val="22"/>
          <w:szCs w:val="22"/>
        </w:rPr>
        <w:t>Conference Calls</w:t>
      </w:r>
      <w:r w:rsidRPr="00187DF5">
        <w:rPr>
          <w:b/>
          <w:sz w:val="22"/>
          <w:szCs w:val="22"/>
        </w:rPr>
        <w:t>—</w:t>
      </w:r>
      <w:r w:rsidRPr="00187DF5">
        <w:rPr>
          <w:sz w:val="22"/>
          <w:szCs w:val="22"/>
        </w:rPr>
        <w:t>The Performing Party will participate in all scheduled conference calls unless other arrangements are made with the TCEQ CRP project manager.</w:t>
      </w:r>
    </w:p>
    <w:p w14:paraId="0DE8924F" w14:textId="5E854082" w:rsidR="00984212" w:rsidRPr="00187DF5" w:rsidRDefault="00984212" w:rsidP="00984212">
      <w:pPr>
        <w:pStyle w:val="BodyText"/>
        <w:rPr>
          <w:rStyle w:val="Emphasis"/>
          <w:sz w:val="22"/>
          <w:szCs w:val="22"/>
        </w:rPr>
      </w:pPr>
      <w:r w:rsidRPr="00187DF5">
        <w:rPr>
          <w:rStyle w:val="Strong"/>
          <w:sz w:val="22"/>
          <w:szCs w:val="22"/>
        </w:rPr>
        <w:t>Conferences and Training Events or Other Events—</w:t>
      </w:r>
      <w:r w:rsidRPr="00187DF5">
        <w:rPr>
          <w:sz w:val="22"/>
          <w:szCs w:val="22"/>
        </w:rPr>
        <w:t xml:space="preserve">The Performing Party will participate in meetings and training events as scheduled by TCEQ for the Texas CRP. All non-CRP conferences and training events need to be pre-approved by the TCEQ CRP project manager prior to incurring costs associated with such events. </w:t>
      </w:r>
    </w:p>
    <w:p w14:paraId="2E419D78" w14:textId="77777777" w:rsidR="00984212" w:rsidRPr="00187DF5" w:rsidRDefault="00984212" w:rsidP="00984212">
      <w:pPr>
        <w:pStyle w:val="BodyText"/>
        <w:rPr>
          <w:sz w:val="22"/>
          <w:szCs w:val="22"/>
        </w:rPr>
      </w:pPr>
      <w:r w:rsidRPr="00187DF5">
        <w:rPr>
          <w:rStyle w:val="Strong"/>
          <w:sz w:val="22"/>
          <w:szCs w:val="22"/>
        </w:rPr>
        <w:t>Documentation for Desk Review or On-Site Visit</w:t>
      </w:r>
      <w:r w:rsidRPr="00187DF5">
        <w:rPr>
          <w:b/>
          <w:sz w:val="22"/>
          <w:szCs w:val="22"/>
        </w:rPr>
        <w:t>—</w:t>
      </w:r>
      <w:r w:rsidRPr="00187DF5">
        <w:rPr>
          <w:sz w:val="22"/>
          <w:szCs w:val="22"/>
        </w:rPr>
        <w:t>Detailed supporting documentation, in addition to the quarterly reimbursement documentation, will be made available upon request. The additional supporting documentation will include those items outlined in Exhibit 1B of the FY2026-2027 CRP Guidance. In the case of an on-site visit, the appropriate Performing Party personnel will be available during the visit.</w:t>
      </w:r>
    </w:p>
    <w:p w14:paraId="2642C3FC" w14:textId="1581EE9D" w:rsidR="00984212" w:rsidRPr="00187DF5" w:rsidRDefault="00984212" w:rsidP="00984212">
      <w:pPr>
        <w:pStyle w:val="BodyText"/>
        <w:rPr>
          <w:sz w:val="22"/>
          <w:szCs w:val="22"/>
        </w:rPr>
      </w:pPr>
      <w:r w:rsidRPr="00187DF5">
        <w:rPr>
          <w:rStyle w:val="Strong"/>
          <w:sz w:val="22"/>
          <w:szCs w:val="22"/>
        </w:rPr>
        <w:t>FY2028-2029 Work Plan and Supporting Documentation</w:t>
      </w:r>
      <w:r w:rsidRPr="00187DF5">
        <w:rPr>
          <w:b/>
          <w:bCs/>
          <w:sz w:val="22"/>
          <w:szCs w:val="22"/>
        </w:rPr>
        <w:t>—</w:t>
      </w:r>
      <w:r w:rsidRPr="00187DF5">
        <w:rPr>
          <w:sz w:val="22"/>
          <w:szCs w:val="22"/>
        </w:rPr>
        <w:t>The work plan and supporting documentation will be prepared and submitted as specified in the FY2028-2029 CRP Guidance. Supporting documentation will include (as applicable): budget by category, budget by task, PEL, fringe rate methodology, indirect rate methodology, allocated costs documentation, equipment purchase request list, equipment inventory, a list of subcontracted tasks, a list of known training events and conferences, and a signed Procurement System Certification. The work plan will include the tasks and deliverables outlined in the FY2028-2029 Guidance and will be negotiated with TCEQ. A proposed work plan will be submitted to TCEQ for review, and comments will be provided. The Performing Party will address all TCEQ comments and submit a final work plan.</w:t>
      </w:r>
    </w:p>
    <w:p w14:paraId="6A6567A5" w14:textId="77777777" w:rsidR="00984212" w:rsidRPr="007C7221" w:rsidRDefault="00984212" w:rsidP="009759B4">
      <w:pPr>
        <w:pStyle w:val="BodyText"/>
        <w:spacing w:before="240"/>
        <w:rPr>
          <w:sz w:val="22"/>
          <w:szCs w:val="22"/>
        </w:rPr>
      </w:pPr>
      <w:r w:rsidRPr="007C7221">
        <w:rPr>
          <w:sz w:val="22"/>
          <w:szCs w:val="22"/>
        </w:rPr>
        <w:t>Deliverables and Due Dates:</w:t>
      </w:r>
    </w:p>
    <w:p w14:paraId="4F46219F" w14:textId="77777777" w:rsidR="00984212" w:rsidRPr="007C7221" w:rsidRDefault="00984212" w:rsidP="00984212">
      <w:pPr>
        <w:pStyle w:val="BodyTextBetweenLists"/>
        <w:rPr>
          <w:rStyle w:val="Emphasis"/>
          <w:szCs w:val="22"/>
        </w:rPr>
      </w:pPr>
      <w:r w:rsidRPr="007C7221">
        <w:rPr>
          <w:rStyle w:val="Emphasis"/>
          <w:szCs w:val="22"/>
        </w:rPr>
        <w:t>September 1, 2025 through August 31, 2026</w:t>
      </w:r>
    </w:p>
    <w:p w14:paraId="5084B431" w14:textId="77777777" w:rsidR="00984212" w:rsidRPr="007C7221" w:rsidRDefault="00984212" w:rsidP="00984212">
      <w:pPr>
        <w:pStyle w:val="ListLetterSmall"/>
        <w:ind w:left="835"/>
        <w:rPr>
          <w:rFonts w:ascii="Lucida Bright" w:hAnsi="Lucida Bright"/>
          <w:sz w:val="22"/>
        </w:rPr>
      </w:pPr>
      <w:r w:rsidRPr="007C7221">
        <w:rPr>
          <w:rFonts w:ascii="Lucida Bright" w:hAnsi="Lucida Bright"/>
          <w:sz w:val="22"/>
        </w:rPr>
        <w:t>Progress Reports—December 15, 2025; March 15 and June 15, 2026</w:t>
      </w:r>
    </w:p>
    <w:p w14:paraId="0E019711" w14:textId="77777777" w:rsidR="00984212" w:rsidRPr="007C7221" w:rsidRDefault="00984212" w:rsidP="00984212">
      <w:pPr>
        <w:pStyle w:val="ListLetterSmall"/>
        <w:ind w:left="835"/>
        <w:rPr>
          <w:rFonts w:ascii="Lucida Bright" w:hAnsi="Lucida Bright"/>
          <w:sz w:val="22"/>
        </w:rPr>
      </w:pPr>
      <w:r w:rsidRPr="007C7221">
        <w:rPr>
          <w:rFonts w:ascii="Lucida Bright" w:hAnsi="Lucida Bright"/>
          <w:sz w:val="22"/>
        </w:rPr>
        <w:t>Reimbursement Requests—</w:t>
      </w:r>
      <w:r w:rsidRPr="007C7221">
        <w:rPr>
          <w:rFonts w:ascii="Lucida Bright" w:hAnsi="Lucida Bright"/>
          <w:spacing w:val="-6"/>
          <w:sz w:val="22"/>
        </w:rPr>
        <w:t>due 30 days after the close of each quarter</w:t>
      </w:r>
    </w:p>
    <w:p w14:paraId="6E0D23CA" w14:textId="77777777" w:rsidR="00984212" w:rsidRPr="007C7221" w:rsidRDefault="00984212" w:rsidP="00984212">
      <w:pPr>
        <w:pStyle w:val="ListLetterSmall"/>
        <w:ind w:left="835"/>
        <w:rPr>
          <w:rFonts w:ascii="Lucida Bright" w:hAnsi="Lucida Bright"/>
          <w:sz w:val="22"/>
        </w:rPr>
      </w:pPr>
      <w:r w:rsidRPr="007C7221">
        <w:rPr>
          <w:rFonts w:ascii="Lucida Bright" w:hAnsi="Lucida Bright"/>
          <w:sz w:val="22"/>
        </w:rPr>
        <w:t>Annual Self-Evaluation and, if applicable, Subcontractor Evaluations—August 31, 2026</w:t>
      </w:r>
    </w:p>
    <w:p w14:paraId="0922FA91" w14:textId="77777777" w:rsidR="00984212" w:rsidRPr="007C7221" w:rsidRDefault="00984212" w:rsidP="00984212">
      <w:pPr>
        <w:pStyle w:val="ListLetterSmall"/>
        <w:ind w:left="835"/>
        <w:rPr>
          <w:rFonts w:ascii="Lucida Bright" w:hAnsi="Lucida Bright"/>
          <w:sz w:val="22"/>
        </w:rPr>
      </w:pPr>
      <w:r w:rsidRPr="007C7221">
        <w:rPr>
          <w:rFonts w:ascii="Lucida Bright" w:hAnsi="Lucida Bright"/>
          <w:sz w:val="22"/>
        </w:rPr>
        <w:t>Procurement Procedures Documentation Memo—within 30 days after the subcontract is executed</w:t>
      </w:r>
    </w:p>
    <w:p w14:paraId="1DF33BA9" w14:textId="77777777" w:rsidR="00984212" w:rsidRPr="007C7221" w:rsidRDefault="00984212" w:rsidP="00984212">
      <w:pPr>
        <w:pStyle w:val="ListLetterSmall"/>
        <w:ind w:left="835"/>
        <w:rPr>
          <w:rFonts w:ascii="Lucida Bright" w:hAnsi="Lucida Bright"/>
          <w:sz w:val="22"/>
        </w:rPr>
      </w:pPr>
      <w:r w:rsidRPr="007C7221">
        <w:rPr>
          <w:rFonts w:ascii="Lucida Bright" w:hAnsi="Lucida Bright"/>
          <w:sz w:val="22"/>
        </w:rPr>
        <w:t>Additional Supporting Documentation for Desk Review or Site Visit—upon request</w:t>
      </w:r>
    </w:p>
    <w:p w14:paraId="1744719A" w14:textId="77777777" w:rsidR="00984212" w:rsidRPr="007C7221" w:rsidRDefault="00984212" w:rsidP="00984212">
      <w:pPr>
        <w:pStyle w:val="BodyTextBetweenLists"/>
        <w:rPr>
          <w:rStyle w:val="Emphasis"/>
          <w:szCs w:val="22"/>
        </w:rPr>
      </w:pPr>
      <w:r w:rsidRPr="007C7221">
        <w:rPr>
          <w:rStyle w:val="Emphasis"/>
          <w:szCs w:val="22"/>
        </w:rPr>
        <w:lastRenderedPageBreak/>
        <w:t>September 1, 2026 through August 31, 2027</w:t>
      </w:r>
    </w:p>
    <w:p w14:paraId="37C6E50E" w14:textId="77777777" w:rsidR="00984212" w:rsidRPr="007C7221" w:rsidRDefault="00984212" w:rsidP="00984212">
      <w:pPr>
        <w:pStyle w:val="ListLetterSmall"/>
        <w:numPr>
          <w:ilvl w:val="0"/>
          <w:numId w:val="20"/>
        </w:numPr>
        <w:rPr>
          <w:rFonts w:ascii="Lucida Bright" w:hAnsi="Lucida Bright"/>
          <w:sz w:val="22"/>
        </w:rPr>
      </w:pPr>
      <w:r w:rsidRPr="007C7221">
        <w:rPr>
          <w:rFonts w:ascii="Lucida Bright" w:hAnsi="Lucida Bright"/>
          <w:sz w:val="22"/>
        </w:rPr>
        <w:t>Progress</w:t>
      </w:r>
      <w:r w:rsidRPr="007C7221">
        <w:rPr>
          <w:rFonts w:ascii="Lucida Bright" w:hAnsi="Lucida Bright"/>
          <w:spacing w:val="-4"/>
          <w:sz w:val="22"/>
        </w:rPr>
        <w:t xml:space="preserve"> </w:t>
      </w:r>
      <w:r w:rsidRPr="007C7221">
        <w:rPr>
          <w:rFonts w:ascii="Lucida Bright" w:hAnsi="Lucida Bright"/>
          <w:sz w:val="22"/>
        </w:rPr>
        <w:t>Reports</w:t>
      </w:r>
      <w:r w:rsidRPr="007C7221">
        <w:rPr>
          <w:rFonts w:ascii="Lucida Bright" w:hAnsi="Lucida Bright"/>
          <w:spacing w:val="-6"/>
          <w:sz w:val="22"/>
        </w:rPr>
        <w:t>—</w:t>
      </w:r>
      <w:r w:rsidRPr="007C7221">
        <w:rPr>
          <w:rFonts w:ascii="Lucida Bright" w:hAnsi="Lucida Bright"/>
          <w:sz w:val="22"/>
        </w:rPr>
        <w:t>September</w:t>
      </w:r>
      <w:r w:rsidRPr="007C7221">
        <w:rPr>
          <w:rFonts w:ascii="Lucida Bright" w:hAnsi="Lucida Bright"/>
          <w:spacing w:val="-7"/>
          <w:sz w:val="22"/>
        </w:rPr>
        <w:t xml:space="preserve"> </w:t>
      </w:r>
      <w:r w:rsidRPr="007C7221">
        <w:rPr>
          <w:rFonts w:ascii="Lucida Bright" w:hAnsi="Lucida Bright"/>
          <w:sz w:val="22"/>
        </w:rPr>
        <w:t>15</w:t>
      </w:r>
      <w:r w:rsidRPr="007C7221">
        <w:rPr>
          <w:rFonts w:ascii="Lucida Bright" w:hAnsi="Lucida Bright"/>
          <w:spacing w:val="-2"/>
          <w:sz w:val="22"/>
        </w:rPr>
        <w:t xml:space="preserve"> </w:t>
      </w:r>
      <w:r w:rsidRPr="007C7221">
        <w:rPr>
          <w:rFonts w:ascii="Lucida Bright" w:hAnsi="Lucida Bright"/>
          <w:sz w:val="22"/>
        </w:rPr>
        <w:t>and</w:t>
      </w:r>
      <w:r w:rsidRPr="007C7221">
        <w:rPr>
          <w:rFonts w:ascii="Lucida Bright" w:hAnsi="Lucida Bright"/>
          <w:spacing w:val="-7"/>
          <w:sz w:val="22"/>
        </w:rPr>
        <w:t xml:space="preserve"> </w:t>
      </w:r>
      <w:r w:rsidRPr="007C7221">
        <w:rPr>
          <w:rFonts w:ascii="Lucida Bright" w:hAnsi="Lucida Bright"/>
          <w:sz w:val="22"/>
        </w:rPr>
        <w:t>December</w:t>
      </w:r>
      <w:r w:rsidRPr="007C7221">
        <w:rPr>
          <w:rFonts w:ascii="Lucida Bright" w:hAnsi="Lucida Bright"/>
          <w:spacing w:val="-5"/>
          <w:sz w:val="22"/>
        </w:rPr>
        <w:t xml:space="preserve"> </w:t>
      </w:r>
      <w:r w:rsidRPr="007C7221">
        <w:rPr>
          <w:rFonts w:ascii="Lucida Bright" w:hAnsi="Lucida Bright"/>
          <w:sz w:val="22"/>
        </w:rPr>
        <w:t>15,</w:t>
      </w:r>
      <w:r w:rsidRPr="007C7221">
        <w:rPr>
          <w:rFonts w:ascii="Lucida Bright" w:hAnsi="Lucida Bright"/>
          <w:spacing w:val="-6"/>
          <w:sz w:val="22"/>
        </w:rPr>
        <w:t xml:space="preserve"> </w:t>
      </w:r>
      <w:r w:rsidRPr="007C7221">
        <w:rPr>
          <w:rFonts w:ascii="Lucida Bright" w:hAnsi="Lucida Bright"/>
          <w:sz w:val="22"/>
        </w:rPr>
        <w:t>2026;</w:t>
      </w:r>
      <w:r w:rsidRPr="007C7221">
        <w:rPr>
          <w:rFonts w:ascii="Lucida Bright" w:hAnsi="Lucida Bright"/>
          <w:spacing w:val="-5"/>
          <w:sz w:val="22"/>
        </w:rPr>
        <w:t xml:space="preserve"> </w:t>
      </w:r>
      <w:r w:rsidRPr="007C7221">
        <w:rPr>
          <w:rFonts w:ascii="Lucida Bright" w:hAnsi="Lucida Bright"/>
          <w:sz w:val="22"/>
        </w:rPr>
        <w:t>March</w:t>
      </w:r>
      <w:r w:rsidRPr="007C7221">
        <w:rPr>
          <w:rFonts w:ascii="Lucida Bright" w:hAnsi="Lucida Bright"/>
          <w:spacing w:val="-6"/>
          <w:sz w:val="22"/>
        </w:rPr>
        <w:t xml:space="preserve"> </w:t>
      </w:r>
      <w:r w:rsidRPr="007C7221">
        <w:rPr>
          <w:rFonts w:ascii="Lucida Bright" w:hAnsi="Lucida Bright"/>
          <w:sz w:val="22"/>
        </w:rPr>
        <w:t>15,</w:t>
      </w:r>
      <w:r w:rsidRPr="007C7221">
        <w:rPr>
          <w:rFonts w:ascii="Lucida Bright" w:hAnsi="Lucida Bright"/>
          <w:spacing w:val="-4"/>
          <w:sz w:val="22"/>
        </w:rPr>
        <w:t xml:space="preserve"> </w:t>
      </w:r>
      <w:r w:rsidRPr="007C7221">
        <w:rPr>
          <w:rFonts w:ascii="Lucida Bright" w:hAnsi="Lucida Bright"/>
          <w:sz w:val="22"/>
        </w:rPr>
        <w:t>June</w:t>
      </w:r>
      <w:r w:rsidRPr="007C7221">
        <w:rPr>
          <w:rFonts w:ascii="Lucida Bright" w:hAnsi="Lucida Bright"/>
          <w:spacing w:val="-8"/>
          <w:sz w:val="22"/>
        </w:rPr>
        <w:t xml:space="preserve"> </w:t>
      </w:r>
      <w:r w:rsidRPr="007C7221">
        <w:rPr>
          <w:rFonts w:ascii="Lucida Bright" w:hAnsi="Lucida Bright"/>
          <w:sz w:val="22"/>
        </w:rPr>
        <w:t>15,</w:t>
      </w:r>
      <w:r w:rsidRPr="007C7221">
        <w:rPr>
          <w:rFonts w:ascii="Lucida Bright" w:hAnsi="Lucida Bright"/>
          <w:spacing w:val="-6"/>
          <w:sz w:val="22"/>
        </w:rPr>
        <w:t xml:space="preserve"> </w:t>
      </w:r>
      <w:r w:rsidRPr="007C7221">
        <w:rPr>
          <w:rFonts w:ascii="Lucida Bright" w:hAnsi="Lucida Bright"/>
          <w:sz w:val="22"/>
        </w:rPr>
        <w:t>and</w:t>
      </w:r>
      <w:r w:rsidRPr="007C7221">
        <w:rPr>
          <w:rFonts w:ascii="Lucida Bright" w:hAnsi="Lucida Bright"/>
          <w:spacing w:val="-4"/>
          <w:sz w:val="22"/>
        </w:rPr>
        <w:t xml:space="preserve"> </w:t>
      </w:r>
      <w:r w:rsidRPr="007C7221">
        <w:rPr>
          <w:rFonts w:ascii="Lucida Bright" w:hAnsi="Lucida Bright"/>
          <w:sz w:val="22"/>
        </w:rPr>
        <w:t>August</w:t>
      </w:r>
      <w:r w:rsidRPr="007C7221">
        <w:rPr>
          <w:rFonts w:ascii="Lucida Bright" w:hAnsi="Lucida Bright"/>
          <w:spacing w:val="-3"/>
          <w:sz w:val="22"/>
        </w:rPr>
        <w:t xml:space="preserve"> </w:t>
      </w:r>
      <w:r w:rsidRPr="007C7221">
        <w:rPr>
          <w:rFonts w:ascii="Lucida Bright" w:hAnsi="Lucida Bright"/>
          <w:sz w:val="22"/>
        </w:rPr>
        <w:t>15, 2027</w:t>
      </w:r>
    </w:p>
    <w:p w14:paraId="644E2832" w14:textId="77777777" w:rsidR="00984212" w:rsidRPr="007C7221" w:rsidRDefault="00984212" w:rsidP="00984212">
      <w:pPr>
        <w:pStyle w:val="ListLetterSmall"/>
        <w:numPr>
          <w:ilvl w:val="0"/>
          <w:numId w:val="20"/>
        </w:numPr>
        <w:rPr>
          <w:rFonts w:ascii="Lucida Bright" w:hAnsi="Lucida Bright"/>
          <w:sz w:val="22"/>
        </w:rPr>
      </w:pPr>
      <w:r w:rsidRPr="007C7221">
        <w:rPr>
          <w:rFonts w:ascii="Lucida Bright" w:hAnsi="Lucida Bright"/>
          <w:sz w:val="22"/>
        </w:rPr>
        <w:t>Reimbursement Requests</w:t>
      </w:r>
      <w:r w:rsidRPr="007C7221">
        <w:rPr>
          <w:rFonts w:ascii="Lucida Bright" w:hAnsi="Lucida Bright"/>
          <w:spacing w:val="-6"/>
          <w:sz w:val="22"/>
        </w:rPr>
        <w:t>—due 30 days after the close of each quarter; final due no later than 45 days following the contract termination date</w:t>
      </w:r>
    </w:p>
    <w:p w14:paraId="2568E566"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Proposed FY2028 – 2029 Work Plan and Supporting Documentation—December 15,</w:t>
      </w:r>
      <w:r w:rsidRPr="007C7221">
        <w:rPr>
          <w:rFonts w:ascii="Lucida Bright" w:hAnsi="Lucida Bright"/>
          <w:spacing w:val="-56"/>
          <w:sz w:val="22"/>
        </w:rPr>
        <w:t xml:space="preserve"> </w:t>
      </w:r>
      <w:r w:rsidRPr="007C7221">
        <w:rPr>
          <w:rFonts w:ascii="Lucida Bright" w:hAnsi="Lucida Bright"/>
          <w:sz w:val="22"/>
        </w:rPr>
        <w:t>2026</w:t>
      </w:r>
    </w:p>
    <w:p w14:paraId="44354EB9"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Final FY2028 – 2029 Work Plan and Supporting Documentation—February 1, 2027</w:t>
      </w:r>
    </w:p>
    <w:p w14:paraId="4C19F2C9"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Annual Self Evaluation and, if applicable, Subcontractor Evaluations—August 31,</w:t>
      </w:r>
      <w:r w:rsidRPr="007C7221">
        <w:rPr>
          <w:rFonts w:ascii="Lucida Bright" w:hAnsi="Lucida Bright"/>
          <w:spacing w:val="-50"/>
          <w:sz w:val="22"/>
        </w:rPr>
        <w:t xml:space="preserve"> </w:t>
      </w:r>
      <w:r w:rsidRPr="007C7221">
        <w:rPr>
          <w:rFonts w:ascii="Lucida Bright" w:hAnsi="Lucida Bright"/>
          <w:sz w:val="22"/>
        </w:rPr>
        <w:t>2027</w:t>
      </w:r>
    </w:p>
    <w:p w14:paraId="1A83F239"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Procurement Procedures Documentation Memo—within 30 days after the subcontract is executed</w:t>
      </w:r>
    </w:p>
    <w:p w14:paraId="52F02915"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Additional Supporting Documentation for Desk Review or Site Visit—upon request</w:t>
      </w:r>
    </w:p>
    <w:p w14:paraId="6264E331" w14:textId="77777777" w:rsidR="00984212" w:rsidRPr="00F26E99" w:rsidRDefault="00984212" w:rsidP="00984212">
      <w:pPr>
        <w:pStyle w:val="BodyText"/>
      </w:pPr>
      <w:r w:rsidRPr="00F26E99">
        <w:br w:type="page"/>
      </w:r>
    </w:p>
    <w:p w14:paraId="536CC377" w14:textId="77777777" w:rsidR="00984212" w:rsidRPr="00E05CBF" w:rsidRDefault="00984212" w:rsidP="00984212">
      <w:pPr>
        <w:pStyle w:val="ExhibitHead1"/>
        <w:rPr>
          <w:sz w:val="22"/>
          <w:szCs w:val="22"/>
        </w:rPr>
      </w:pPr>
      <w:bookmarkStart w:id="0" w:name="TASK_2:__QUALITY_ASSURANCE"/>
      <w:bookmarkEnd w:id="0"/>
      <w:r w:rsidRPr="00E05CBF">
        <w:rPr>
          <w:sz w:val="22"/>
          <w:szCs w:val="22"/>
        </w:rPr>
        <w:lastRenderedPageBreak/>
        <w:t>Task 2: Quality Assurance</w:t>
      </w:r>
    </w:p>
    <w:p w14:paraId="0E937EF4" w14:textId="04E4C675" w:rsidR="00984212" w:rsidRPr="00617BB4" w:rsidRDefault="00617BB4" w:rsidP="00AA5C91">
      <w:pPr>
        <w:pStyle w:val="BodyTextBeforeList"/>
        <w:spacing w:line="240" w:lineRule="auto"/>
        <w:rPr>
          <w:szCs w:val="22"/>
        </w:rPr>
      </w:pPr>
      <w:r w:rsidRPr="00617BB4">
        <w:rPr>
          <w:rStyle w:val="Strong"/>
          <w:szCs w:val="22"/>
        </w:rPr>
        <w:t>Objective:</w:t>
      </w:r>
      <w:r w:rsidRPr="00617BB4">
        <w:rPr>
          <w:szCs w:val="22"/>
        </w:rPr>
        <w:t xml:space="preserve"> </w:t>
      </w:r>
      <w:r w:rsidR="00984212" w:rsidRPr="00617BB4">
        <w:rPr>
          <w:szCs w:val="22"/>
        </w:rPr>
        <w:t>To conduct data collection activities in accordance with an integrated system of quality management activities involving planning, assessment, implementation, training, and quality improvement. This task addresses objectives and processes for:</w:t>
      </w:r>
    </w:p>
    <w:p w14:paraId="4B7A1E7F" w14:textId="77777777" w:rsidR="00984212" w:rsidRPr="00617BB4" w:rsidRDefault="00984212" w:rsidP="00984212">
      <w:pPr>
        <w:pStyle w:val="ListBullet"/>
        <w:spacing w:after="80" w:line="264" w:lineRule="auto"/>
        <w:rPr>
          <w:sz w:val="22"/>
          <w:szCs w:val="22"/>
        </w:rPr>
      </w:pPr>
      <w:r w:rsidRPr="00617BB4">
        <w:rPr>
          <w:sz w:val="22"/>
          <w:szCs w:val="22"/>
        </w:rPr>
        <w:t>Quality Assurance Project Plan (QAPP) development and implementation.</w:t>
      </w:r>
    </w:p>
    <w:p w14:paraId="26F0CF65" w14:textId="77777777" w:rsidR="00984212" w:rsidRPr="00617BB4" w:rsidRDefault="00984212" w:rsidP="00984212">
      <w:pPr>
        <w:pStyle w:val="ListBullet"/>
        <w:spacing w:after="80" w:line="264" w:lineRule="auto"/>
        <w:rPr>
          <w:sz w:val="22"/>
          <w:szCs w:val="22"/>
        </w:rPr>
      </w:pPr>
      <w:r w:rsidRPr="00617BB4">
        <w:rPr>
          <w:sz w:val="22"/>
          <w:szCs w:val="22"/>
        </w:rPr>
        <w:t>Laboratory quality assurance.</w:t>
      </w:r>
    </w:p>
    <w:p w14:paraId="7F5126AF" w14:textId="77777777" w:rsidR="00984212" w:rsidRPr="00617BB4" w:rsidRDefault="00984212" w:rsidP="00984212">
      <w:pPr>
        <w:pStyle w:val="ListBullet"/>
        <w:spacing w:after="80" w:line="264" w:lineRule="auto"/>
        <w:rPr>
          <w:sz w:val="22"/>
          <w:szCs w:val="22"/>
        </w:rPr>
      </w:pPr>
      <w:r w:rsidRPr="00617BB4">
        <w:rPr>
          <w:sz w:val="22"/>
          <w:szCs w:val="22"/>
        </w:rPr>
        <w:t>Data review, verification, and validation.</w:t>
      </w:r>
    </w:p>
    <w:p w14:paraId="67461556" w14:textId="77777777" w:rsidR="00984212" w:rsidRPr="00617BB4" w:rsidRDefault="00984212" w:rsidP="00984212">
      <w:pPr>
        <w:pStyle w:val="ListBullet"/>
        <w:spacing w:after="80" w:line="264" w:lineRule="auto"/>
        <w:rPr>
          <w:sz w:val="22"/>
          <w:szCs w:val="22"/>
        </w:rPr>
      </w:pPr>
      <w:r w:rsidRPr="00617BB4">
        <w:rPr>
          <w:sz w:val="22"/>
          <w:szCs w:val="22"/>
        </w:rPr>
        <w:t xml:space="preserve">Oversight of project(s). </w:t>
      </w:r>
    </w:p>
    <w:p w14:paraId="06AD7790" w14:textId="77777777" w:rsidR="00984212" w:rsidRPr="00617BB4" w:rsidRDefault="00984212" w:rsidP="00984212">
      <w:pPr>
        <w:pStyle w:val="ListBullet"/>
        <w:spacing w:after="80" w:line="264" w:lineRule="auto"/>
        <w:rPr>
          <w:sz w:val="22"/>
          <w:szCs w:val="22"/>
        </w:rPr>
      </w:pPr>
      <w:r w:rsidRPr="00617BB4">
        <w:rPr>
          <w:sz w:val="22"/>
          <w:szCs w:val="22"/>
        </w:rPr>
        <w:t>Special studies project planning.</w:t>
      </w:r>
    </w:p>
    <w:p w14:paraId="6E7F3EC1" w14:textId="35145D7B" w:rsidR="00730D28" w:rsidRPr="00F16EC4" w:rsidRDefault="00984212" w:rsidP="00730D28">
      <w:pPr>
        <w:pStyle w:val="BodyText"/>
        <w:spacing w:before="240"/>
        <w:rPr>
          <w:rFonts w:ascii="Verdana" w:hAnsi="Verdana"/>
          <w:i/>
          <w:color w:val="17365D" w:themeColor="text2" w:themeShade="BF"/>
          <w:szCs w:val="20"/>
        </w:rPr>
      </w:pPr>
      <w:r w:rsidRPr="00617BB4">
        <w:rPr>
          <w:rStyle w:val="Strong"/>
        </w:rPr>
        <w:t>Task Description</w:t>
      </w:r>
      <w:r w:rsidRPr="00617BB4">
        <w:rPr>
          <w:b/>
        </w:rPr>
        <w:t xml:space="preserve">: </w:t>
      </w:r>
      <w:r w:rsidR="00730D28" w:rsidRPr="00F16EC4">
        <w:rPr>
          <w:rFonts w:cs="Calibri"/>
          <w:sz w:val="22"/>
          <w:szCs w:val="22"/>
        </w:rPr>
        <w:t xml:space="preserve">This task will focus on activities detailed in the </w:t>
      </w:r>
      <w:r w:rsidR="00730D28">
        <w:rPr>
          <w:rFonts w:cs="Calibri"/>
          <w:sz w:val="22"/>
          <w:szCs w:val="22"/>
        </w:rPr>
        <w:t>FY</w:t>
      </w:r>
      <w:r w:rsidR="00730D28" w:rsidRPr="00F16EC4">
        <w:rPr>
          <w:rFonts w:cs="Calibri"/>
          <w:sz w:val="22"/>
          <w:szCs w:val="22"/>
        </w:rPr>
        <w:t xml:space="preserve"> 202</w:t>
      </w:r>
      <w:r w:rsidR="00730D28">
        <w:rPr>
          <w:rFonts w:cs="Calibri"/>
          <w:sz w:val="22"/>
          <w:szCs w:val="22"/>
        </w:rPr>
        <w:t>6</w:t>
      </w:r>
      <w:r w:rsidR="00730D28" w:rsidRPr="00F16EC4">
        <w:rPr>
          <w:rFonts w:cs="Calibri"/>
          <w:sz w:val="22"/>
          <w:szCs w:val="22"/>
        </w:rPr>
        <w:t>-202</w:t>
      </w:r>
      <w:r w:rsidR="00730D28">
        <w:rPr>
          <w:rFonts w:cs="Calibri"/>
          <w:sz w:val="22"/>
          <w:szCs w:val="22"/>
        </w:rPr>
        <w:t>7</w:t>
      </w:r>
      <w:r w:rsidR="00730D28" w:rsidRPr="00F16EC4">
        <w:rPr>
          <w:rFonts w:cs="Calibri"/>
          <w:sz w:val="22"/>
          <w:szCs w:val="22"/>
        </w:rPr>
        <w:t xml:space="preserve"> </w:t>
      </w:r>
      <w:r w:rsidR="00730D28" w:rsidRPr="00CD0C8B">
        <w:rPr>
          <w:rFonts w:cs="Calibri"/>
          <w:sz w:val="22"/>
          <w:szCs w:val="22"/>
        </w:rPr>
        <w:t>Cypress Creek Basin</w:t>
      </w:r>
      <w:r w:rsidR="00730D28" w:rsidRPr="00F16EC4">
        <w:rPr>
          <w:rFonts w:cs="Calibri"/>
          <w:sz w:val="22"/>
          <w:szCs w:val="22"/>
        </w:rPr>
        <w:t xml:space="preserve"> QAPP. The QAPP will include appendices that cover special studies (if applicable), maps</w:t>
      </w:r>
      <w:r w:rsidR="00F62285">
        <w:rPr>
          <w:rFonts w:cs="Calibri"/>
          <w:sz w:val="22"/>
          <w:szCs w:val="22"/>
        </w:rPr>
        <w:t>,</w:t>
      </w:r>
      <w:r w:rsidR="00730D28" w:rsidRPr="00F16EC4">
        <w:rPr>
          <w:rFonts w:cs="Calibri"/>
          <w:sz w:val="22"/>
          <w:szCs w:val="22"/>
        </w:rPr>
        <w:t xml:space="preserve"> and monitoring tables in the prescribed TCEQ format. </w:t>
      </w:r>
      <w:r w:rsidR="00730D28" w:rsidRPr="00F16EC4">
        <w:rPr>
          <w:sz w:val="22"/>
          <w:szCs w:val="22"/>
        </w:rPr>
        <w:t xml:space="preserve">The QAPP will be amended throughout the </w:t>
      </w:r>
      <w:r w:rsidR="00730D28">
        <w:rPr>
          <w:sz w:val="22"/>
          <w:szCs w:val="22"/>
        </w:rPr>
        <w:t>Contract</w:t>
      </w:r>
      <w:r w:rsidR="00730D28" w:rsidRPr="00F16EC4">
        <w:rPr>
          <w:sz w:val="22"/>
          <w:szCs w:val="22"/>
        </w:rPr>
        <w:t xml:space="preserve"> period as needed.</w:t>
      </w:r>
    </w:p>
    <w:p w14:paraId="22988F31" w14:textId="22976AE6" w:rsidR="00984212" w:rsidRPr="00617BB4" w:rsidRDefault="00984212" w:rsidP="00AA5C91">
      <w:pPr>
        <w:pStyle w:val="BodyTextafterTableorList"/>
        <w:spacing w:line="240" w:lineRule="auto"/>
      </w:pPr>
      <w:r w:rsidRPr="00617BB4">
        <w:t>All work funded by this contract that involves the acquisition of environmental data generated from direct measurement activities, collected from other sources, or compiled from computerized databases and information systems will be planned in consultation with TCEQ and documented in a fully approved TCEQ QAPP before data collection can be implemented.</w:t>
      </w:r>
    </w:p>
    <w:p w14:paraId="51B9FEF3" w14:textId="77777777" w:rsidR="00984212" w:rsidRPr="00617BB4" w:rsidRDefault="00984212" w:rsidP="00984212">
      <w:pPr>
        <w:pStyle w:val="BodyTextBeforeList"/>
        <w:rPr>
          <w:szCs w:val="22"/>
        </w:rPr>
      </w:pPr>
      <w:r w:rsidRPr="00617BB4">
        <w:rPr>
          <w:szCs w:val="22"/>
        </w:rPr>
        <w:t>The Performing Party will complete the following subtasks:</w:t>
      </w:r>
    </w:p>
    <w:p w14:paraId="67769A4C" w14:textId="206A485C" w:rsidR="00984212" w:rsidRPr="00617BB4" w:rsidRDefault="00984212" w:rsidP="00984212">
      <w:pPr>
        <w:pStyle w:val="BodyText"/>
        <w:rPr>
          <w:sz w:val="22"/>
          <w:szCs w:val="22"/>
        </w:rPr>
      </w:pPr>
      <w:r w:rsidRPr="00617BB4">
        <w:rPr>
          <w:rStyle w:val="Strong"/>
          <w:sz w:val="22"/>
          <w:szCs w:val="22"/>
        </w:rPr>
        <w:t>NELAP Accreditation—</w:t>
      </w:r>
      <w:r w:rsidRPr="00617BB4">
        <w:rPr>
          <w:sz w:val="22"/>
          <w:szCs w:val="22"/>
        </w:rPr>
        <w:t>Laboratory data will be produced by laboratories (and subcontract laboratories) whose quality assurance program is consistent with the NELAC Institute (TNI) standards.</w:t>
      </w:r>
    </w:p>
    <w:p w14:paraId="4C0A56A3" w14:textId="77777777" w:rsidR="00984212" w:rsidRPr="00617BB4" w:rsidRDefault="00984212" w:rsidP="00984212">
      <w:pPr>
        <w:pStyle w:val="BodyText"/>
        <w:rPr>
          <w:sz w:val="22"/>
          <w:szCs w:val="22"/>
        </w:rPr>
      </w:pPr>
      <w:r w:rsidRPr="00617BB4">
        <w:rPr>
          <w:rStyle w:val="Strong"/>
          <w:sz w:val="22"/>
          <w:szCs w:val="22"/>
        </w:rPr>
        <w:t>Basin-wide QAPP</w:t>
      </w:r>
      <w:r w:rsidRPr="00617BB4">
        <w:rPr>
          <w:b/>
          <w:sz w:val="22"/>
          <w:szCs w:val="22"/>
        </w:rPr>
        <w:t>—</w:t>
      </w:r>
      <w:r w:rsidRPr="00617BB4">
        <w:rPr>
          <w:sz w:val="22"/>
          <w:szCs w:val="22"/>
        </w:rPr>
        <w:t>The basin-wide QAPP will be submitted to TCEQ in the TCEQ-approved shell format. Only those sites covered by the QAPP and parameters satisfying the requirements of Texas Water Code (TWC) Chapter 5, Subchapter R (TWC Section 5.801 et seq) and Title 30, Texas Administrative Code (30 TAC) Chapter 25, Subchapters A and B will be included in the document. The Performing Party will address all TCEQ comments and submit the revised QAPP to the TCEQ CRP project manager within 15 days after receiving comments from TCEQ.</w:t>
      </w:r>
    </w:p>
    <w:p w14:paraId="43AA7CD0" w14:textId="77777777" w:rsidR="00984212" w:rsidRPr="00617BB4" w:rsidRDefault="00984212" w:rsidP="00984212">
      <w:pPr>
        <w:pStyle w:val="BodyText"/>
        <w:rPr>
          <w:sz w:val="22"/>
          <w:szCs w:val="22"/>
        </w:rPr>
      </w:pPr>
      <w:r w:rsidRPr="00617BB4">
        <w:rPr>
          <w:sz w:val="22"/>
          <w:szCs w:val="22"/>
        </w:rPr>
        <w:t>The Performing Party will secure written documentation (signature in the QAPP or Adherence Letter) from participants under the QAPP stating their awareness of and commitment to adhere to the requirements contained in the QAPP and any appendices and amendments. This documentation will be maintained as part of the Performing Party</w:t>
      </w:r>
      <w:r w:rsidRPr="00617BB4">
        <w:rPr>
          <w:i/>
          <w:sz w:val="22"/>
          <w:szCs w:val="22"/>
        </w:rPr>
        <w:t xml:space="preserve">’s </w:t>
      </w:r>
      <w:r w:rsidRPr="00617BB4">
        <w:rPr>
          <w:sz w:val="22"/>
          <w:szCs w:val="22"/>
        </w:rPr>
        <w:t>quality assurance records. Copies of all Adherence Letters must be forwarded to the TCEQ CRP project manager no later than 45 days following TCEQ’s approval of the QAPP, but prior to the monitoring event. (Note: Adherence Letters are not required for entities who sign the QAPP). The Performing Party will distribute the QAPP to all participants (including the laboratory).</w:t>
      </w:r>
    </w:p>
    <w:p w14:paraId="7E8309FB" w14:textId="77777777" w:rsidR="00984212" w:rsidRPr="00617BB4" w:rsidRDefault="00984212" w:rsidP="00984212">
      <w:pPr>
        <w:pStyle w:val="BodyText"/>
        <w:rPr>
          <w:sz w:val="22"/>
          <w:szCs w:val="22"/>
        </w:rPr>
      </w:pPr>
      <w:r w:rsidRPr="00617BB4">
        <w:rPr>
          <w:sz w:val="22"/>
          <w:szCs w:val="22"/>
        </w:rPr>
        <w:t>Documentation of QAPP distribution and acknowledgement of QAPP receipt will be maintained by the Performing Party and be available for review during a TCEQ monitoring systems audit.</w:t>
      </w:r>
    </w:p>
    <w:p w14:paraId="0422DAE6" w14:textId="77777777" w:rsidR="00984212" w:rsidRPr="00617BB4" w:rsidRDefault="00984212" w:rsidP="00984212">
      <w:pPr>
        <w:pStyle w:val="BodyText"/>
        <w:rPr>
          <w:sz w:val="22"/>
          <w:szCs w:val="22"/>
        </w:rPr>
      </w:pPr>
      <w:r w:rsidRPr="00617BB4">
        <w:rPr>
          <w:sz w:val="22"/>
          <w:szCs w:val="22"/>
        </w:rPr>
        <w:lastRenderedPageBreak/>
        <w:t>Sections of the basin-wide QAPP will be posted to the Performing Party’s CRP webpage. These sections include the monitoring program or project objectives, measurement performance specifications (i.e., Table A7 of the QAPP), appendices, and the monitoring schedule and maps of sampling sites.</w:t>
      </w:r>
    </w:p>
    <w:p w14:paraId="48344EA5" w14:textId="77777777" w:rsidR="00984212" w:rsidRPr="00617BB4" w:rsidRDefault="00984212" w:rsidP="00984212">
      <w:pPr>
        <w:pStyle w:val="BodyText"/>
        <w:rPr>
          <w:sz w:val="22"/>
          <w:szCs w:val="22"/>
        </w:rPr>
      </w:pPr>
      <w:r w:rsidRPr="00617BB4">
        <w:rPr>
          <w:rStyle w:val="Strong"/>
          <w:sz w:val="22"/>
          <w:szCs w:val="22"/>
        </w:rPr>
        <w:t>QAPP Amendment to Appendix B</w:t>
      </w:r>
      <w:r w:rsidRPr="00617BB4">
        <w:rPr>
          <w:b/>
          <w:bCs/>
          <w:sz w:val="22"/>
          <w:szCs w:val="22"/>
        </w:rPr>
        <w:t>—</w:t>
      </w:r>
      <w:r w:rsidRPr="00617BB4">
        <w:rPr>
          <w:sz w:val="22"/>
          <w:szCs w:val="22"/>
        </w:rPr>
        <w:t>The monitoring schedule in Appendix B of the basin-wide QAPP will be updated for the second year of the contract biennium after the annual coordinated monitoring meeting. This special type of QAPP amendment will be submitted using the TCEQ-approved shell format. Only the sites covered by the Performing Party’s QAPP will be included in Appendix B of the QAPP.</w:t>
      </w:r>
    </w:p>
    <w:p w14:paraId="19B9E669" w14:textId="77777777" w:rsidR="00984212" w:rsidRPr="00617BB4" w:rsidRDefault="00984212" w:rsidP="00984212">
      <w:pPr>
        <w:pStyle w:val="BodyText"/>
        <w:rPr>
          <w:sz w:val="22"/>
          <w:szCs w:val="22"/>
        </w:rPr>
      </w:pPr>
      <w:r w:rsidRPr="00617BB4">
        <w:rPr>
          <w:rStyle w:val="Strong"/>
          <w:sz w:val="22"/>
          <w:szCs w:val="22"/>
        </w:rPr>
        <w:t>Planning for Special Studies or Permit Support Monitoring</w:t>
      </w:r>
      <w:r w:rsidRPr="00617BB4">
        <w:rPr>
          <w:b/>
          <w:sz w:val="22"/>
          <w:szCs w:val="22"/>
        </w:rPr>
        <w:t>—</w:t>
      </w:r>
      <w:r w:rsidRPr="00617BB4">
        <w:rPr>
          <w:sz w:val="22"/>
          <w:szCs w:val="22"/>
        </w:rPr>
        <w:t>In consultation with TCEQ staff, and in consideration of the elements of the QAPP, special studies and monitoring projects to support permits will be systematically planned. The Performing Party project manager will coordinate with the TCEQ CRP project manager to establish the planning team, schedule the meeting (90 days prior to the planned sampling date), distribute meeting materials in advance of the meeting, facilitate the meeting, and prepare meeting minutes. The Performing Party will submit planning materials for the meeting to all participants no later than one week prior to the meeting. Meeting materials will include, as appropriate, a problem definition, as currently understood, a description of the budget, personnel and schedule issues, maps, information on past or on-going studies, historical water quality data, Texas Integrated Report of Surface Water Quality (IR) findings, wastewater discharge information, known or expected sources of contamination, existing monitoring sites, land use information, etc. Planning meeting summary notes will be provided to participants within two weeks of the meeting. The information developed during the planning meeting will be incorporated into a QAPP</w:t>
      </w:r>
      <w:r w:rsidRPr="00617BB4">
        <w:rPr>
          <w:spacing w:val="-10"/>
          <w:sz w:val="22"/>
          <w:szCs w:val="22"/>
        </w:rPr>
        <w:t xml:space="preserve"> </w:t>
      </w:r>
      <w:r w:rsidRPr="00617BB4">
        <w:rPr>
          <w:sz w:val="22"/>
          <w:szCs w:val="22"/>
        </w:rPr>
        <w:t>appendix.</w:t>
      </w:r>
    </w:p>
    <w:p w14:paraId="0BC91527" w14:textId="77777777" w:rsidR="00984212" w:rsidRPr="00617BB4" w:rsidRDefault="00984212" w:rsidP="00984212">
      <w:pPr>
        <w:pStyle w:val="BodyText"/>
        <w:rPr>
          <w:sz w:val="22"/>
          <w:szCs w:val="22"/>
        </w:rPr>
      </w:pPr>
      <w:r w:rsidRPr="00617BB4">
        <w:rPr>
          <w:rStyle w:val="Strong"/>
          <w:sz w:val="22"/>
          <w:szCs w:val="22"/>
        </w:rPr>
        <w:t>QAPP Appendices</w:t>
      </w:r>
      <w:r w:rsidRPr="00617BB4">
        <w:rPr>
          <w:b/>
          <w:sz w:val="22"/>
          <w:szCs w:val="22"/>
        </w:rPr>
        <w:t>—</w:t>
      </w:r>
      <w:r w:rsidRPr="00617BB4">
        <w:rPr>
          <w:sz w:val="22"/>
          <w:szCs w:val="22"/>
        </w:rPr>
        <w:t>Special studies and permit support monitoring projects that have different objectives than those described in the basin-wide QAPP will be incorporated into the QAPP as appendices after they are thoroughly planned in consultation with TCEQ. The QAPP appendices will be written in the TCEQ prescribed format and reference sections of the basin-wide QAPP as appropriate, and otherwise address information unique to the project. Unique aspects of special projects include the problem definition, the task description, measurement performance specifications, sample design rationale, sampling methods requirements, etc. QAPP appendices will be sent to the TCEQ CRP project manager. QAPP appendices for special studies or permit support monitoring will be submitted to the TCEQ CRP project manager no later than 30 days after the planning meeting using the TCEQ-approved shell format. The Performing Party will address TCEQ comments, modify the document, and submit the final QAPP appendix to the TCEQ CRP project manager within 15 days of receipt of TCEQ comments.</w:t>
      </w:r>
    </w:p>
    <w:p w14:paraId="3C3D25D3" w14:textId="77777777" w:rsidR="00984212" w:rsidRPr="00617BB4" w:rsidRDefault="00984212" w:rsidP="00984212">
      <w:pPr>
        <w:pStyle w:val="BodyText"/>
        <w:rPr>
          <w:sz w:val="22"/>
          <w:szCs w:val="22"/>
        </w:rPr>
      </w:pPr>
      <w:r w:rsidRPr="00617BB4">
        <w:rPr>
          <w:rStyle w:val="Strong"/>
          <w:sz w:val="22"/>
          <w:szCs w:val="22"/>
        </w:rPr>
        <w:t>QAPP Amendments and Revisions to Appendices</w:t>
      </w:r>
      <w:r w:rsidRPr="00617BB4">
        <w:rPr>
          <w:b/>
          <w:sz w:val="22"/>
          <w:szCs w:val="22"/>
        </w:rPr>
        <w:t>—</w:t>
      </w:r>
      <w:r w:rsidRPr="00617BB4">
        <w:rPr>
          <w:sz w:val="22"/>
          <w:szCs w:val="22"/>
        </w:rPr>
        <w:t xml:space="preserve">Changes in parameters, sampling or analytical procedures, project organization, and other items of an existing project necessitates an amendment to the QAPP or Revisions to Appendices. Amendments and Revisions to Appendices will be submitted electronically to the TCEQ CRP project manager on an "as needed" basis in the TCEQ-approved shell format for agency review. Upon approval, QAPP Amendments and Revisions to Appendices will be distributed to all personnel on the distribution list maintained by the Performing Party. Documentation of distribution and acknowledgement of receipt will be maintained by </w:t>
      </w:r>
      <w:r w:rsidRPr="00617BB4">
        <w:rPr>
          <w:sz w:val="22"/>
          <w:szCs w:val="22"/>
        </w:rPr>
        <w:lastRenderedPageBreak/>
        <w:t>the Performing Party and be available for review during a TCEQ monitoring systems audit.</w:t>
      </w:r>
    </w:p>
    <w:p w14:paraId="10E0F363" w14:textId="77777777" w:rsidR="00984212" w:rsidRPr="00617BB4" w:rsidRDefault="00984212" w:rsidP="00984212">
      <w:pPr>
        <w:pStyle w:val="BodyText"/>
        <w:rPr>
          <w:sz w:val="22"/>
          <w:szCs w:val="22"/>
        </w:rPr>
      </w:pPr>
      <w:r w:rsidRPr="00617BB4">
        <w:rPr>
          <w:rStyle w:val="Strong"/>
          <w:sz w:val="22"/>
          <w:szCs w:val="22"/>
        </w:rPr>
        <w:t>Project Oversight</w:t>
      </w:r>
      <w:r w:rsidRPr="00617BB4">
        <w:rPr>
          <w:b/>
          <w:sz w:val="22"/>
          <w:szCs w:val="22"/>
        </w:rPr>
        <w:t>—</w:t>
      </w:r>
      <w:r w:rsidRPr="00617BB4">
        <w:rPr>
          <w:sz w:val="22"/>
          <w:szCs w:val="22"/>
        </w:rPr>
        <w:t>The Performing Party will participate in monitoring systems audits and laboratory inspections by TCEQ.</w:t>
      </w:r>
    </w:p>
    <w:p w14:paraId="20E5C760" w14:textId="2BB02BCA" w:rsidR="00984212" w:rsidRPr="00617BB4" w:rsidRDefault="00984212" w:rsidP="00984212">
      <w:pPr>
        <w:pStyle w:val="BodyText"/>
        <w:rPr>
          <w:i/>
          <w:sz w:val="22"/>
          <w:szCs w:val="22"/>
        </w:rPr>
      </w:pPr>
      <w:r w:rsidRPr="00617BB4">
        <w:rPr>
          <w:sz w:val="22"/>
          <w:szCs w:val="22"/>
        </w:rPr>
        <w:t xml:space="preserve">The Performing Party will conduct oversight of subparticipants (including contractors and in-kind participants) who conduct field monitoring under their basin-wide QAPP. The assessment will be performed once during the contract cycle in the case of on-going projects, or once during a project’s lifetime in the case of short-lived special studies. </w:t>
      </w:r>
      <w:r w:rsidR="00730D28" w:rsidRPr="00F16EC4">
        <w:rPr>
          <w:sz w:val="22"/>
          <w:szCs w:val="28"/>
        </w:rPr>
        <w:t>A monitoring systems audit</w:t>
      </w:r>
      <w:r w:rsidR="00730D28" w:rsidRPr="00F16EC4" w:rsidDel="00FE53A2">
        <w:rPr>
          <w:sz w:val="22"/>
          <w:szCs w:val="28"/>
        </w:rPr>
        <w:t xml:space="preserve"> </w:t>
      </w:r>
      <w:r w:rsidR="00730D28" w:rsidRPr="00F16EC4">
        <w:rPr>
          <w:sz w:val="22"/>
          <w:szCs w:val="28"/>
        </w:rPr>
        <w:t>will be conducted by the Performing Party on subcontractors collecting water quality data as identified in the QAPP.</w:t>
      </w:r>
    </w:p>
    <w:p w14:paraId="2A1E805F" w14:textId="77777777" w:rsidR="00984212" w:rsidRPr="00617BB4" w:rsidRDefault="00984212" w:rsidP="00984212">
      <w:pPr>
        <w:pStyle w:val="BodyText"/>
        <w:rPr>
          <w:sz w:val="22"/>
          <w:szCs w:val="22"/>
        </w:rPr>
      </w:pPr>
      <w:r w:rsidRPr="00617BB4">
        <w:rPr>
          <w:sz w:val="22"/>
          <w:szCs w:val="22"/>
        </w:rPr>
        <w:t>Following the on-site assessment, the Performing Party will provide the audited organization with an audit report within 30 days. If no findings are made, the report will make this clear. Findings made during the audit will be documented in the audit report. Audit reports will contain references to written specifications, as defined in the QAPP or in a standard operating procedure (SOP). The audited organization will be asked to respond in writing to the report within 30 days. A copy of the audit report and the response will be submitted as a deliverable to the TCEQ CRP project manager with the progress report no later than the quarter following the one in which the audit was conducted.</w:t>
      </w:r>
    </w:p>
    <w:p w14:paraId="6F2F95D3" w14:textId="77777777" w:rsidR="00984212" w:rsidRPr="00617BB4" w:rsidRDefault="00984212" w:rsidP="00ED133F">
      <w:pPr>
        <w:pStyle w:val="BodyText"/>
        <w:spacing w:after="240"/>
        <w:rPr>
          <w:sz w:val="22"/>
          <w:szCs w:val="22"/>
        </w:rPr>
      </w:pPr>
      <w:r w:rsidRPr="00617BB4">
        <w:rPr>
          <w:rStyle w:val="Strong"/>
          <w:sz w:val="22"/>
          <w:szCs w:val="22"/>
        </w:rPr>
        <w:t>Corrective Action Reports</w:t>
      </w:r>
      <w:r w:rsidRPr="00617BB4">
        <w:rPr>
          <w:b/>
          <w:sz w:val="22"/>
          <w:szCs w:val="22"/>
        </w:rPr>
        <w:t>—</w:t>
      </w:r>
      <w:r w:rsidRPr="00617BB4">
        <w:rPr>
          <w:sz w:val="22"/>
          <w:szCs w:val="22"/>
        </w:rPr>
        <w:t>Issues that may affect data quality and availability will be tracked, addressed, and reported to the TCEQ CRP project manager using the definitions and corrective action strategy laid out in the FY2026-2027 CRP Guidance. The Performing Party must address deviations associated with sampling activities, chain-of-custody, analytical method requirements, quality control, and data management.</w:t>
      </w:r>
    </w:p>
    <w:p w14:paraId="0F93AD47" w14:textId="77777777" w:rsidR="00984212" w:rsidRPr="00617BB4" w:rsidRDefault="00984212" w:rsidP="00ED133F">
      <w:pPr>
        <w:pStyle w:val="BodyText"/>
        <w:spacing w:before="240"/>
        <w:rPr>
          <w:sz w:val="22"/>
          <w:szCs w:val="22"/>
        </w:rPr>
      </w:pPr>
      <w:r w:rsidRPr="00617BB4">
        <w:rPr>
          <w:sz w:val="22"/>
          <w:szCs w:val="22"/>
        </w:rPr>
        <w:t>Deliverables and Due Dates:</w:t>
      </w:r>
    </w:p>
    <w:p w14:paraId="2F6B2661" w14:textId="77777777" w:rsidR="00984212" w:rsidRPr="007C7221" w:rsidRDefault="00984212" w:rsidP="00984212">
      <w:pPr>
        <w:pStyle w:val="BodyTextBetweenLists"/>
        <w:rPr>
          <w:rStyle w:val="Emphasis"/>
          <w:szCs w:val="22"/>
        </w:rPr>
      </w:pPr>
      <w:r w:rsidRPr="007C7221">
        <w:rPr>
          <w:rStyle w:val="Emphasis"/>
          <w:szCs w:val="22"/>
        </w:rPr>
        <w:t>September 1, 2025 through August 31, 2026</w:t>
      </w:r>
    </w:p>
    <w:p w14:paraId="3CAC29CF" w14:textId="77777777" w:rsidR="00984212" w:rsidRPr="007C7221" w:rsidRDefault="00984212" w:rsidP="00984212">
      <w:pPr>
        <w:pStyle w:val="ListLetterSmall"/>
        <w:numPr>
          <w:ilvl w:val="0"/>
          <w:numId w:val="21"/>
        </w:numPr>
        <w:rPr>
          <w:rFonts w:ascii="Lucida Bright" w:hAnsi="Lucida Bright"/>
          <w:sz w:val="22"/>
        </w:rPr>
      </w:pPr>
      <w:r w:rsidRPr="007C7221">
        <w:rPr>
          <w:rFonts w:ascii="Lucida Bright" w:hAnsi="Lucida Bright"/>
          <w:sz w:val="22"/>
        </w:rPr>
        <w:t>Basin-wide QAPP receipt acknowledgement and adherence letters (if applicable)—October 15,</w:t>
      </w:r>
      <w:r w:rsidRPr="007C7221">
        <w:rPr>
          <w:rFonts w:ascii="Lucida Bright" w:hAnsi="Lucida Bright"/>
          <w:spacing w:val="-3"/>
          <w:sz w:val="22"/>
        </w:rPr>
        <w:t xml:space="preserve"> </w:t>
      </w:r>
      <w:r w:rsidRPr="007C7221">
        <w:rPr>
          <w:rFonts w:ascii="Lucida Bright" w:hAnsi="Lucida Bright"/>
          <w:sz w:val="22"/>
        </w:rPr>
        <w:t>2025</w:t>
      </w:r>
    </w:p>
    <w:p w14:paraId="33CCCA7C"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Specified sections of the basin-wide QAPP posted to the webpage—October 31,</w:t>
      </w:r>
      <w:r w:rsidRPr="007C7221">
        <w:rPr>
          <w:rFonts w:ascii="Lucida Bright" w:hAnsi="Lucida Bright"/>
          <w:spacing w:val="-43"/>
          <w:sz w:val="22"/>
        </w:rPr>
        <w:t xml:space="preserve"> </w:t>
      </w:r>
      <w:r w:rsidRPr="007C7221">
        <w:rPr>
          <w:rFonts w:ascii="Lucida Bright" w:hAnsi="Lucida Bright"/>
          <w:sz w:val="22"/>
        </w:rPr>
        <w:t>2025; and documented in the subsequent progress report</w:t>
      </w:r>
    </w:p>
    <w:p w14:paraId="5280BA2F"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Draft QAPP Appendix B Amendment for FY2027 monitoring—June 1,</w:t>
      </w:r>
      <w:r w:rsidRPr="007C7221">
        <w:rPr>
          <w:rFonts w:ascii="Lucida Bright" w:hAnsi="Lucida Bright"/>
          <w:spacing w:val="-33"/>
          <w:sz w:val="22"/>
        </w:rPr>
        <w:t xml:space="preserve"> </w:t>
      </w:r>
      <w:r w:rsidRPr="007C7221">
        <w:rPr>
          <w:rFonts w:ascii="Lucida Bright" w:hAnsi="Lucida Bright"/>
          <w:sz w:val="22"/>
        </w:rPr>
        <w:t>2026</w:t>
      </w:r>
    </w:p>
    <w:p w14:paraId="2F736D53"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Final QAPP Appendix B Amendment for FY2027 monitoring—August 1,</w:t>
      </w:r>
      <w:r w:rsidRPr="007C7221">
        <w:rPr>
          <w:rFonts w:ascii="Lucida Bright" w:hAnsi="Lucida Bright"/>
          <w:spacing w:val="-36"/>
          <w:sz w:val="22"/>
        </w:rPr>
        <w:t xml:space="preserve"> </w:t>
      </w:r>
      <w:r w:rsidRPr="007C7221">
        <w:rPr>
          <w:rFonts w:ascii="Lucida Bright" w:hAnsi="Lucida Bright"/>
          <w:sz w:val="22"/>
        </w:rPr>
        <w:t>2026</w:t>
      </w:r>
    </w:p>
    <w:p w14:paraId="7A35D13B"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Planning meetings for special studies or permit support monitoring (if applicable)—90 days prior to the planned sampling</w:t>
      </w:r>
      <w:r w:rsidRPr="007C7221">
        <w:rPr>
          <w:rFonts w:ascii="Lucida Bright" w:hAnsi="Lucida Bright"/>
          <w:spacing w:val="-16"/>
          <w:sz w:val="22"/>
        </w:rPr>
        <w:t xml:space="preserve"> </w:t>
      </w:r>
      <w:r w:rsidRPr="007C7221">
        <w:rPr>
          <w:rFonts w:ascii="Lucida Bright" w:hAnsi="Lucida Bright"/>
          <w:sz w:val="22"/>
        </w:rPr>
        <w:t>date</w:t>
      </w:r>
    </w:p>
    <w:p w14:paraId="7DA8BA98"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Planning meeting summary notes for special studies or permit support monitoring (if applicable)—no later than two weeks after the planning</w:t>
      </w:r>
      <w:r w:rsidRPr="007C7221">
        <w:rPr>
          <w:rFonts w:ascii="Lucida Bright" w:hAnsi="Lucida Bright"/>
          <w:spacing w:val="-22"/>
          <w:sz w:val="22"/>
        </w:rPr>
        <w:t xml:space="preserve"> </w:t>
      </w:r>
      <w:r w:rsidRPr="007C7221">
        <w:rPr>
          <w:rFonts w:ascii="Lucida Bright" w:hAnsi="Lucida Bright"/>
          <w:sz w:val="22"/>
        </w:rPr>
        <w:t>meeting</w:t>
      </w:r>
    </w:p>
    <w:p w14:paraId="4D0B444A"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Draft QAPP Appendices for special studies or permit support monitoring (if applicable)—no later than 30 days after the planning</w:t>
      </w:r>
      <w:r w:rsidRPr="007C7221">
        <w:rPr>
          <w:rFonts w:ascii="Lucida Bright" w:hAnsi="Lucida Bright"/>
          <w:spacing w:val="-16"/>
          <w:sz w:val="22"/>
        </w:rPr>
        <w:t xml:space="preserve"> </w:t>
      </w:r>
      <w:r w:rsidRPr="007C7221">
        <w:rPr>
          <w:rFonts w:ascii="Lucida Bright" w:hAnsi="Lucida Bright"/>
          <w:sz w:val="22"/>
        </w:rPr>
        <w:t>meeting</w:t>
      </w:r>
    </w:p>
    <w:p w14:paraId="4447BA73"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Final QAPP Appendices for special studies or permit support monitoring (if applicable)—no later than 30 days after the receipt of TCEQ</w:t>
      </w:r>
      <w:r w:rsidRPr="007C7221">
        <w:rPr>
          <w:rFonts w:ascii="Lucida Bright" w:hAnsi="Lucida Bright"/>
          <w:spacing w:val="-9"/>
          <w:sz w:val="22"/>
        </w:rPr>
        <w:t xml:space="preserve"> </w:t>
      </w:r>
      <w:r w:rsidRPr="007C7221">
        <w:rPr>
          <w:rFonts w:ascii="Lucida Bright" w:hAnsi="Lucida Bright"/>
          <w:sz w:val="22"/>
        </w:rPr>
        <w:t>comments</w:t>
      </w:r>
    </w:p>
    <w:p w14:paraId="0EC8B961"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lastRenderedPageBreak/>
        <w:t>QAPP Amendments and Revisions to Appendices (if applicable)—as</w:t>
      </w:r>
      <w:r w:rsidRPr="007C7221">
        <w:rPr>
          <w:rFonts w:ascii="Lucida Bright" w:hAnsi="Lucida Bright"/>
          <w:spacing w:val="-32"/>
          <w:sz w:val="22"/>
        </w:rPr>
        <w:t xml:space="preserve"> </w:t>
      </w:r>
      <w:r w:rsidRPr="007C7221">
        <w:rPr>
          <w:rFonts w:ascii="Lucida Bright" w:hAnsi="Lucida Bright"/>
          <w:sz w:val="22"/>
        </w:rPr>
        <w:t>needed</w:t>
      </w:r>
    </w:p>
    <w:p w14:paraId="457C6B6C"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QAPP Appendix and Amendment Receipt Acknowledgement and Adherence Letters (if applicable)—no later than 45 days after TCEQ approval of the QAPP, but prior to the monitoring</w:t>
      </w:r>
      <w:r w:rsidRPr="007C7221">
        <w:rPr>
          <w:rFonts w:ascii="Lucida Bright" w:hAnsi="Lucida Bright"/>
          <w:spacing w:val="-9"/>
          <w:sz w:val="22"/>
        </w:rPr>
        <w:t xml:space="preserve"> </w:t>
      </w:r>
      <w:r w:rsidRPr="007C7221">
        <w:rPr>
          <w:rFonts w:ascii="Lucida Bright" w:hAnsi="Lucida Bright"/>
          <w:sz w:val="22"/>
        </w:rPr>
        <w:t>event</w:t>
      </w:r>
    </w:p>
    <w:p w14:paraId="5131D604"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Participate in TCEQ monitoring systems audit(s) and response to comments (if applicable)—date planned in consultation with</w:t>
      </w:r>
      <w:r w:rsidRPr="007C7221">
        <w:rPr>
          <w:rFonts w:ascii="Lucida Bright" w:hAnsi="Lucida Bright"/>
          <w:spacing w:val="-11"/>
          <w:sz w:val="22"/>
        </w:rPr>
        <w:t xml:space="preserve"> </w:t>
      </w:r>
      <w:r w:rsidRPr="007C7221">
        <w:rPr>
          <w:rFonts w:ascii="Lucida Bright" w:hAnsi="Lucida Bright"/>
          <w:sz w:val="22"/>
        </w:rPr>
        <w:t>TCEQ; participation reported in progress reports</w:t>
      </w:r>
    </w:p>
    <w:p w14:paraId="7FEC31BD"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Conduct on-site oversight assessment of subparticipants, once during each project or</w:t>
      </w:r>
      <w:r w:rsidRPr="007C7221">
        <w:rPr>
          <w:rFonts w:ascii="Lucida Bright" w:hAnsi="Lucida Bright"/>
          <w:spacing w:val="-29"/>
          <w:sz w:val="22"/>
        </w:rPr>
        <w:t xml:space="preserve"> </w:t>
      </w:r>
      <w:r w:rsidRPr="007C7221">
        <w:rPr>
          <w:rFonts w:ascii="Lucida Bright" w:hAnsi="Lucida Bright"/>
          <w:sz w:val="22"/>
        </w:rPr>
        <w:t>once during contract cycle (if applicable)—to be</w:t>
      </w:r>
      <w:r w:rsidRPr="007C7221">
        <w:rPr>
          <w:rFonts w:ascii="Lucida Bright" w:hAnsi="Lucida Bright"/>
          <w:spacing w:val="-24"/>
          <w:sz w:val="22"/>
        </w:rPr>
        <w:t xml:space="preserve"> </w:t>
      </w:r>
      <w:r w:rsidRPr="007C7221">
        <w:rPr>
          <w:rFonts w:ascii="Lucida Bright" w:hAnsi="Lucida Bright"/>
          <w:sz w:val="22"/>
        </w:rPr>
        <w:t>scheduled; reported in progress reports</w:t>
      </w:r>
    </w:p>
    <w:p w14:paraId="233D1B25"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On-site project oversight report and response (if applicable)—with the progress report no later than the quarter following the one in which the audit was conducted</w:t>
      </w:r>
    </w:p>
    <w:p w14:paraId="7A471B1A"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Corrective action status report (if applicable)—with progress</w:t>
      </w:r>
      <w:r w:rsidRPr="007C7221">
        <w:rPr>
          <w:rFonts w:ascii="Lucida Bright" w:hAnsi="Lucida Bright"/>
          <w:spacing w:val="-32"/>
          <w:sz w:val="22"/>
        </w:rPr>
        <w:t xml:space="preserve"> </w:t>
      </w:r>
      <w:r w:rsidRPr="007C7221">
        <w:rPr>
          <w:rFonts w:ascii="Lucida Bright" w:hAnsi="Lucida Bright"/>
          <w:sz w:val="22"/>
        </w:rPr>
        <w:t>report</w:t>
      </w:r>
    </w:p>
    <w:p w14:paraId="16A2C64C" w14:textId="77777777" w:rsidR="00984212" w:rsidRPr="007C7221" w:rsidRDefault="00984212" w:rsidP="00984212">
      <w:pPr>
        <w:pStyle w:val="BodyTextBetweenLists"/>
        <w:rPr>
          <w:rStyle w:val="Emphasis"/>
          <w:szCs w:val="22"/>
        </w:rPr>
      </w:pPr>
      <w:r w:rsidRPr="007C7221">
        <w:rPr>
          <w:rStyle w:val="Emphasis"/>
          <w:szCs w:val="22"/>
        </w:rPr>
        <w:t>September 1, 2026 through August 31, 2027</w:t>
      </w:r>
    </w:p>
    <w:p w14:paraId="7D9DFC9D" w14:textId="77777777" w:rsidR="00984212" w:rsidRPr="007C7221" w:rsidRDefault="00984212" w:rsidP="00984212">
      <w:pPr>
        <w:pStyle w:val="ListLetterSmall"/>
        <w:numPr>
          <w:ilvl w:val="0"/>
          <w:numId w:val="22"/>
        </w:numPr>
        <w:rPr>
          <w:rFonts w:ascii="Lucida Bright" w:hAnsi="Lucida Bright"/>
          <w:sz w:val="22"/>
        </w:rPr>
      </w:pPr>
      <w:r w:rsidRPr="007C7221">
        <w:rPr>
          <w:rFonts w:ascii="Lucida Bright" w:hAnsi="Lucida Bright"/>
          <w:sz w:val="22"/>
        </w:rPr>
        <w:t>Draft FY2028-2029 basin-wide QAPP—June 1,</w:t>
      </w:r>
      <w:r w:rsidRPr="007C7221">
        <w:rPr>
          <w:rFonts w:ascii="Lucida Bright" w:hAnsi="Lucida Bright"/>
          <w:spacing w:val="-25"/>
          <w:sz w:val="22"/>
        </w:rPr>
        <w:t xml:space="preserve"> </w:t>
      </w:r>
      <w:r w:rsidRPr="007C7221">
        <w:rPr>
          <w:rFonts w:ascii="Lucida Bright" w:hAnsi="Lucida Bright"/>
          <w:sz w:val="22"/>
        </w:rPr>
        <w:t>2027</w:t>
      </w:r>
    </w:p>
    <w:p w14:paraId="30F11D47" w14:textId="4FED4C29" w:rsidR="00984212" w:rsidRPr="007C7221" w:rsidRDefault="00984212" w:rsidP="00984212">
      <w:pPr>
        <w:pStyle w:val="ListLetterSmall"/>
        <w:rPr>
          <w:rFonts w:ascii="Lucida Bright" w:hAnsi="Lucida Bright"/>
          <w:sz w:val="22"/>
        </w:rPr>
      </w:pPr>
      <w:r w:rsidRPr="007C7221">
        <w:rPr>
          <w:rFonts w:ascii="Lucida Bright" w:hAnsi="Lucida Bright"/>
          <w:sz w:val="22"/>
        </w:rPr>
        <w:t xml:space="preserve">Final FY2028-2029 </w:t>
      </w:r>
      <w:r w:rsidR="00617BB4" w:rsidRPr="007C7221">
        <w:rPr>
          <w:rFonts w:ascii="Lucida Bright" w:hAnsi="Lucida Bright"/>
          <w:sz w:val="22"/>
        </w:rPr>
        <w:t xml:space="preserve">basin-wide </w:t>
      </w:r>
      <w:r w:rsidRPr="007C7221">
        <w:rPr>
          <w:rFonts w:ascii="Lucida Bright" w:hAnsi="Lucida Bright"/>
          <w:sz w:val="22"/>
        </w:rPr>
        <w:t>QAPP—August 1,</w:t>
      </w:r>
      <w:r w:rsidRPr="007C7221">
        <w:rPr>
          <w:rFonts w:ascii="Lucida Bright" w:hAnsi="Lucida Bright"/>
          <w:spacing w:val="-17"/>
          <w:sz w:val="22"/>
        </w:rPr>
        <w:t xml:space="preserve"> </w:t>
      </w:r>
      <w:r w:rsidRPr="007C7221">
        <w:rPr>
          <w:rFonts w:ascii="Lucida Bright" w:hAnsi="Lucida Bright"/>
          <w:sz w:val="22"/>
        </w:rPr>
        <w:t>2027</w:t>
      </w:r>
    </w:p>
    <w:p w14:paraId="2CFD0B94"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Planning meetings for special studies or permit support monitoring (if applicable)—90 days prior to the planned sampling</w:t>
      </w:r>
      <w:r w:rsidRPr="007C7221">
        <w:rPr>
          <w:rFonts w:ascii="Lucida Bright" w:hAnsi="Lucida Bright"/>
          <w:spacing w:val="-16"/>
          <w:sz w:val="22"/>
        </w:rPr>
        <w:t xml:space="preserve"> </w:t>
      </w:r>
      <w:r w:rsidRPr="007C7221">
        <w:rPr>
          <w:rFonts w:ascii="Lucida Bright" w:hAnsi="Lucida Bright"/>
          <w:sz w:val="22"/>
        </w:rPr>
        <w:t>date</w:t>
      </w:r>
    </w:p>
    <w:p w14:paraId="02B1FDFE"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Planning meeting summary notes for special studies or permit support monitoring (if applicable)—no later than two weeks after the planning</w:t>
      </w:r>
      <w:r w:rsidRPr="007C7221">
        <w:rPr>
          <w:rFonts w:ascii="Lucida Bright" w:hAnsi="Lucida Bright"/>
          <w:spacing w:val="-23"/>
          <w:sz w:val="22"/>
        </w:rPr>
        <w:t xml:space="preserve"> </w:t>
      </w:r>
      <w:r w:rsidRPr="007C7221">
        <w:rPr>
          <w:rFonts w:ascii="Lucida Bright" w:hAnsi="Lucida Bright"/>
          <w:sz w:val="22"/>
        </w:rPr>
        <w:t>meeting</w:t>
      </w:r>
    </w:p>
    <w:p w14:paraId="0169A8DB"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Draft QAPP Appendices for special studies or permit support monitoring (if applicable)—no later than 30 days after the planning</w:t>
      </w:r>
      <w:r w:rsidRPr="007C7221">
        <w:rPr>
          <w:rFonts w:ascii="Lucida Bright" w:hAnsi="Lucida Bright"/>
          <w:spacing w:val="-15"/>
          <w:sz w:val="22"/>
        </w:rPr>
        <w:t xml:space="preserve"> </w:t>
      </w:r>
      <w:r w:rsidRPr="007C7221">
        <w:rPr>
          <w:rFonts w:ascii="Lucida Bright" w:hAnsi="Lucida Bright"/>
          <w:sz w:val="22"/>
        </w:rPr>
        <w:t>meeting</w:t>
      </w:r>
    </w:p>
    <w:p w14:paraId="4D7F9A26"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Final QAPP Appendices for special studies or permit support monitoring (if applicable)—no later than 30 days after the receipt of TCEQ</w:t>
      </w:r>
      <w:r w:rsidRPr="007C7221">
        <w:rPr>
          <w:rFonts w:ascii="Lucida Bright" w:hAnsi="Lucida Bright"/>
          <w:spacing w:val="-10"/>
          <w:sz w:val="22"/>
        </w:rPr>
        <w:t xml:space="preserve"> </w:t>
      </w:r>
      <w:r w:rsidRPr="007C7221">
        <w:rPr>
          <w:rFonts w:ascii="Lucida Bright" w:hAnsi="Lucida Bright"/>
          <w:sz w:val="22"/>
        </w:rPr>
        <w:t>comments</w:t>
      </w:r>
    </w:p>
    <w:p w14:paraId="3349844F"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QAPP Amendments and Revisions to Appendices (if applicable)—as</w:t>
      </w:r>
      <w:r w:rsidRPr="007C7221">
        <w:rPr>
          <w:rFonts w:ascii="Lucida Bright" w:hAnsi="Lucida Bright"/>
          <w:spacing w:val="-31"/>
          <w:sz w:val="22"/>
        </w:rPr>
        <w:t xml:space="preserve"> </w:t>
      </w:r>
      <w:r w:rsidRPr="007C7221">
        <w:rPr>
          <w:rFonts w:ascii="Lucida Bright" w:hAnsi="Lucida Bright"/>
          <w:sz w:val="22"/>
        </w:rPr>
        <w:t>needed</w:t>
      </w:r>
    </w:p>
    <w:p w14:paraId="26658FA3"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QAPP Appendix and Amendment Receipt Acknowledgement and Adherence Letters (if applicable)—no later than 45 days after TCEQ approval of the QAPP, but prior to the monitoring</w:t>
      </w:r>
      <w:r w:rsidRPr="007C7221">
        <w:rPr>
          <w:rFonts w:ascii="Lucida Bright" w:hAnsi="Lucida Bright"/>
          <w:spacing w:val="-9"/>
          <w:sz w:val="22"/>
        </w:rPr>
        <w:t xml:space="preserve"> </w:t>
      </w:r>
      <w:r w:rsidRPr="007C7221">
        <w:rPr>
          <w:rFonts w:ascii="Lucida Bright" w:hAnsi="Lucida Bright"/>
          <w:sz w:val="22"/>
        </w:rPr>
        <w:t>event</w:t>
      </w:r>
    </w:p>
    <w:p w14:paraId="214417E4"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Participate in TCEQ monitoring systems audit(s) and response to comments (if applicable)—date planned in consultation with</w:t>
      </w:r>
      <w:r w:rsidRPr="007C7221">
        <w:rPr>
          <w:rFonts w:ascii="Lucida Bright" w:hAnsi="Lucida Bright"/>
          <w:spacing w:val="-11"/>
          <w:sz w:val="22"/>
        </w:rPr>
        <w:t xml:space="preserve"> </w:t>
      </w:r>
      <w:r w:rsidRPr="007C7221">
        <w:rPr>
          <w:rFonts w:ascii="Lucida Bright" w:hAnsi="Lucida Bright"/>
          <w:sz w:val="22"/>
        </w:rPr>
        <w:t>TCEQ; participation reported in progress reports</w:t>
      </w:r>
    </w:p>
    <w:p w14:paraId="4C5537BB"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Conduct on-site oversight assessment of subparticipants, once during each project or</w:t>
      </w:r>
      <w:r w:rsidRPr="007C7221">
        <w:rPr>
          <w:rFonts w:ascii="Lucida Bright" w:hAnsi="Lucida Bright"/>
          <w:spacing w:val="-29"/>
          <w:sz w:val="22"/>
        </w:rPr>
        <w:t xml:space="preserve"> </w:t>
      </w:r>
      <w:r w:rsidRPr="007C7221">
        <w:rPr>
          <w:rFonts w:ascii="Lucida Bright" w:hAnsi="Lucida Bright"/>
          <w:sz w:val="22"/>
        </w:rPr>
        <w:t>once during contract cycle (if applicable)—August 1,</w:t>
      </w:r>
      <w:r w:rsidRPr="007C7221">
        <w:rPr>
          <w:rFonts w:ascii="Lucida Bright" w:hAnsi="Lucida Bright"/>
          <w:spacing w:val="-21"/>
          <w:sz w:val="22"/>
        </w:rPr>
        <w:t xml:space="preserve"> </w:t>
      </w:r>
      <w:r w:rsidRPr="007C7221">
        <w:rPr>
          <w:rFonts w:ascii="Lucida Bright" w:hAnsi="Lucida Bright"/>
          <w:sz w:val="22"/>
        </w:rPr>
        <w:t>2027; reported in progress reports</w:t>
      </w:r>
    </w:p>
    <w:p w14:paraId="7C47D9B8"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On-site project oversight report and response (if applicable)—with the progress report no later than the quarter following the one in which the audit was conducted; if audit was conducted in the last quarter, submit August 15,</w:t>
      </w:r>
      <w:r w:rsidRPr="007C7221">
        <w:rPr>
          <w:rFonts w:ascii="Lucida Bright" w:hAnsi="Lucida Bright"/>
          <w:spacing w:val="-35"/>
          <w:sz w:val="22"/>
        </w:rPr>
        <w:t xml:space="preserve"> </w:t>
      </w:r>
      <w:r w:rsidRPr="007C7221">
        <w:rPr>
          <w:rFonts w:ascii="Lucida Bright" w:hAnsi="Lucida Bright"/>
          <w:sz w:val="22"/>
        </w:rPr>
        <w:t>2027</w:t>
      </w:r>
    </w:p>
    <w:p w14:paraId="6B787169"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Corrective action status report (if applicable)—with progress</w:t>
      </w:r>
      <w:r w:rsidRPr="007C7221">
        <w:rPr>
          <w:rFonts w:ascii="Lucida Bright" w:hAnsi="Lucida Bright"/>
          <w:spacing w:val="-32"/>
          <w:sz w:val="22"/>
        </w:rPr>
        <w:t xml:space="preserve"> </w:t>
      </w:r>
      <w:r w:rsidRPr="007C7221">
        <w:rPr>
          <w:rFonts w:ascii="Lucida Bright" w:hAnsi="Lucida Bright"/>
          <w:sz w:val="22"/>
        </w:rPr>
        <w:t>report</w:t>
      </w:r>
    </w:p>
    <w:p w14:paraId="5184CEB4" w14:textId="77777777" w:rsidR="00984212" w:rsidRPr="00E05CBF" w:rsidRDefault="00984212" w:rsidP="00984212">
      <w:pPr>
        <w:pStyle w:val="ExhibitHead1"/>
        <w:rPr>
          <w:sz w:val="22"/>
          <w:szCs w:val="22"/>
        </w:rPr>
      </w:pPr>
      <w:bookmarkStart w:id="1" w:name="TASK_3:__WATER_QUALITY_MONITORING"/>
      <w:bookmarkEnd w:id="1"/>
      <w:r w:rsidRPr="00E05CBF">
        <w:rPr>
          <w:sz w:val="22"/>
          <w:szCs w:val="22"/>
        </w:rPr>
        <w:lastRenderedPageBreak/>
        <w:t>Task 3: Water Quality Monitoring</w:t>
      </w:r>
    </w:p>
    <w:p w14:paraId="6EFAAD0C" w14:textId="3392D449" w:rsidR="00984212" w:rsidRPr="00617BB4" w:rsidRDefault="00984212" w:rsidP="00984212">
      <w:pPr>
        <w:pStyle w:val="BodyTextBeforeList"/>
        <w:rPr>
          <w:szCs w:val="22"/>
        </w:rPr>
      </w:pPr>
      <w:r w:rsidRPr="00617BB4">
        <w:rPr>
          <w:rStyle w:val="Strong"/>
          <w:szCs w:val="22"/>
        </w:rPr>
        <w:t>Objective:</w:t>
      </w:r>
      <w:r w:rsidRPr="00617BB4">
        <w:rPr>
          <w:szCs w:val="22"/>
        </w:rPr>
        <w:t xml:space="preserve"> Water quality monitoring will focus on the characterization of a variety of locations and conditions. This will include a combination of the following:</w:t>
      </w:r>
    </w:p>
    <w:p w14:paraId="21CDA783" w14:textId="77777777" w:rsidR="00984212" w:rsidRPr="00617BB4" w:rsidRDefault="00984212" w:rsidP="00984212">
      <w:pPr>
        <w:pStyle w:val="ListBullet"/>
        <w:spacing w:after="80" w:line="264" w:lineRule="auto"/>
        <w:rPr>
          <w:sz w:val="22"/>
          <w:szCs w:val="22"/>
        </w:rPr>
      </w:pPr>
      <w:r w:rsidRPr="00617BB4">
        <w:rPr>
          <w:sz w:val="22"/>
          <w:szCs w:val="22"/>
        </w:rPr>
        <w:t>Planning and coordinating basin-wide monitoring.</w:t>
      </w:r>
    </w:p>
    <w:p w14:paraId="69A013B2" w14:textId="77777777" w:rsidR="00984212" w:rsidRPr="00617BB4" w:rsidRDefault="00984212" w:rsidP="00984212">
      <w:pPr>
        <w:pStyle w:val="ListBullet"/>
        <w:spacing w:after="80" w:line="264" w:lineRule="auto"/>
        <w:rPr>
          <w:sz w:val="22"/>
          <w:szCs w:val="22"/>
        </w:rPr>
      </w:pPr>
      <w:r w:rsidRPr="00617BB4">
        <w:rPr>
          <w:sz w:val="22"/>
          <w:szCs w:val="22"/>
        </w:rPr>
        <w:t xml:space="preserve">Routine, regularly scheduled monitoring to collect long-term information and support statewide assessment of water quality. </w:t>
      </w:r>
    </w:p>
    <w:p w14:paraId="3D207BF7" w14:textId="77777777" w:rsidR="00984212" w:rsidRPr="00617BB4" w:rsidRDefault="00984212" w:rsidP="00984212">
      <w:pPr>
        <w:pStyle w:val="ListBullet"/>
        <w:spacing w:after="80" w:line="264" w:lineRule="auto"/>
        <w:rPr>
          <w:sz w:val="22"/>
          <w:szCs w:val="22"/>
        </w:rPr>
      </w:pPr>
      <w:r w:rsidRPr="00617BB4">
        <w:rPr>
          <w:sz w:val="22"/>
          <w:szCs w:val="22"/>
        </w:rPr>
        <w:t>Systematic, regularly scheduled short-term monitoring to screen water bodies for issues.</w:t>
      </w:r>
    </w:p>
    <w:p w14:paraId="1AF805F9" w14:textId="33F6664A" w:rsidR="00730D28" w:rsidRDefault="00984212" w:rsidP="00AA5C91">
      <w:pPr>
        <w:pStyle w:val="BodyTextBetweenLists"/>
        <w:spacing w:line="240" w:lineRule="auto"/>
        <w:rPr>
          <w:rFonts w:ascii="Verdana" w:hAnsi="Verdana"/>
        </w:rPr>
      </w:pPr>
      <w:r w:rsidRPr="00617BB4">
        <w:rPr>
          <w:b/>
          <w:szCs w:val="22"/>
        </w:rPr>
        <w:t xml:space="preserve">Task Description: </w:t>
      </w:r>
      <w:r w:rsidR="00730D28" w:rsidRPr="00D02527">
        <w:t>The Performing Party will make the basin-wide water quality monitoring plan its primary focus for the biennium.</w:t>
      </w:r>
    </w:p>
    <w:p w14:paraId="2077990F" w14:textId="4563A685" w:rsidR="00984212" w:rsidRPr="00617BB4" w:rsidRDefault="00984212" w:rsidP="00984212">
      <w:pPr>
        <w:pStyle w:val="BodyTextBetweenLists"/>
        <w:rPr>
          <w:szCs w:val="22"/>
        </w:rPr>
      </w:pPr>
      <w:r w:rsidRPr="00617BB4">
        <w:rPr>
          <w:szCs w:val="22"/>
        </w:rPr>
        <w:t>The Performing Party will complete the following subtasks:</w:t>
      </w:r>
    </w:p>
    <w:p w14:paraId="4E1C4F18" w14:textId="0EBF040C" w:rsidR="00730D28" w:rsidRPr="00730D28" w:rsidRDefault="00984212" w:rsidP="00730D28">
      <w:pPr>
        <w:pStyle w:val="BodyText"/>
        <w:rPr>
          <w:sz w:val="22"/>
          <w:szCs w:val="28"/>
        </w:rPr>
      </w:pPr>
      <w:r w:rsidRPr="00617BB4">
        <w:rPr>
          <w:b/>
          <w:sz w:val="22"/>
          <w:szCs w:val="22"/>
        </w:rPr>
        <w:t>Monitoring Description—</w:t>
      </w:r>
      <w:r w:rsidR="00730D28" w:rsidRPr="00730D28">
        <w:rPr>
          <w:sz w:val="22"/>
          <w:szCs w:val="28"/>
        </w:rPr>
        <w:t xml:space="preserve">Based upon the input from the Cypress Creek Basin Steering Committee and through the coordinated monitoring process, a </w:t>
      </w:r>
      <w:r w:rsidR="00730D28" w:rsidRPr="00B8144F">
        <w:rPr>
          <w:sz w:val="22"/>
          <w:szCs w:val="28"/>
        </w:rPr>
        <w:t xml:space="preserve">minimum of </w:t>
      </w:r>
      <w:r w:rsidR="00B8144F" w:rsidRPr="00B8144F">
        <w:rPr>
          <w:sz w:val="22"/>
          <w:szCs w:val="28"/>
        </w:rPr>
        <w:t>eight</w:t>
      </w:r>
      <w:r w:rsidR="00C906DC">
        <w:rPr>
          <w:sz w:val="22"/>
          <w:szCs w:val="28"/>
        </w:rPr>
        <w:t xml:space="preserve"> </w:t>
      </w:r>
      <w:r w:rsidR="00730D28" w:rsidRPr="00730D28">
        <w:rPr>
          <w:sz w:val="22"/>
          <w:szCs w:val="28"/>
        </w:rPr>
        <w:t>routine stations will be monitored quarterly for field parameters, flow (where applicable), bacteria, and conventional water chemistry by the Performing Party in FY 202</w:t>
      </w:r>
      <w:r w:rsidR="00C906DC">
        <w:rPr>
          <w:sz w:val="22"/>
          <w:szCs w:val="28"/>
        </w:rPr>
        <w:t>6</w:t>
      </w:r>
      <w:r w:rsidR="00730D28" w:rsidRPr="00730D28">
        <w:rPr>
          <w:sz w:val="22"/>
          <w:szCs w:val="28"/>
        </w:rPr>
        <w:t>. Field parameters and flow (when possible) will be collected at a minimum of two additional stations per quarter. Diel studies consisting of pH, dissolved oxygen, conductivity, and temperature, along with instantaneous flow measurements (when possible) and field observations will be conducted four times per year at</w:t>
      </w:r>
      <w:r w:rsidR="00202A01">
        <w:rPr>
          <w:sz w:val="22"/>
          <w:szCs w:val="28"/>
        </w:rPr>
        <w:t xml:space="preserve"> a minimum of</w:t>
      </w:r>
      <w:r w:rsidR="00730D28" w:rsidRPr="00730D28">
        <w:rPr>
          <w:sz w:val="22"/>
          <w:szCs w:val="28"/>
        </w:rPr>
        <w:t xml:space="preserve"> two stations. Biological monitoring will be conducted at </w:t>
      </w:r>
      <w:r w:rsidR="00202A01">
        <w:rPr>
          <w:sz w:val="22"/>
          <w:szCs w:val="28"/>
        </w:rPr>
        <w:t xml:space="preserve">a minimum of </w:t>
      </w:r>
      <w:r w:rsidR="00730D28" w:rsidRPr="00730D28">
        <w:rPr>
          <w:sz w:val="22"/>
          <w:szCs w:val="28"/>
        </w:rPr>
        <w:t>one station in FY 202</w:t>
      </w:r>
      <w:r w:rsidR="00C906DC">
        <w:rPr>
          <w:sz w:val="22"/>
          <w:szCs w:val="28"/>
        </w:rPr>
        <w:t>6</w:t>
      </w:r>
      <w:r w:rsidR="00730D28" w:rsidRPr="00730D28">
        <w:rPr>
          <w:sz w:val="22"/>
          <w:szCs w:val="28"/>
        </w:rPr>
        <w:t>. Specific locations, parameters, and sampling frequencies for FY 202</w:t>
      </w:r>
      <w:r w:rsidR="00C906DC">
        <w:rPr>
          <w:sz w:val="22"/>
          <w:szCs w:val="28"/>
        </w:rPr>
        <w:t>6</w:t>
      </w:r>
      <w:r w:rsidR="00730D28" w:rsidRPr="00730D28">
        <w:rPr>
          <w:sz w:val="22"/>
          <w:szCs w:val="28"/>
        </w:rPr>
        <w:t xml:space="preserve"> are provided in the basin-wide QAPP for FY202</w:t>
      </w:r>
      <w:r w:rsidR="00C906DC">
        <w:rPr>
          <w:sz w:val="22"/>
          <w:szCs w:val="28"/>
        </w:rPr>
        <w:t>6</w:t>
      </w:r>
      <w:r w:rsidR="00730D28" w:rsidRPr="00730D28">
        <w:rPr>
          <w:sz w:val="22"/>
          <w:szCs w:val="28"/>
        </w:rPr>
        <w:t>-202</w:t>
      </w:r>
      <w:r w:rsidR="00C906DC">
        <w:rPr>
          <w:sz w:val="22"/>
          <w:szCs w:val="28"/>
        </w:rPr>
        <w:t>7</w:t>
      </w:r>
      <w:r w:rsidR="00730D28" w:rsidRPr="00730D28">
        <w:rPr>
          <w:sz w:val="22"/>
          <w:szCs w:val="28"/>
        </w:rPr>
        <w:t>.</w:t>
      </w:r>
    </w:p>
    <w:p w14:paraId="2F1327A8" w14:textId="64FA6DEE" w:rsidR="00730D28" w:rsidRPr="00730D28" w:rsidRDefault="00730D28" w:rsidP="00730D28">
      <w:pPr>
        <w:spacing w:before="0"/>
        <w:rPr>
          <w:rFonts w:ascii="Verdana" w:eastAsia="Calibri" w:hAnsi="Verdana" w:cs="Calibri"/>
          <w:sz w:val="20"/>
          <w:szCs w:val="20"/>
        </w:rPr>
      </w:pPr>
      <w:r w:rsidRPr="00B8144F">
        <w:rPr>
          <w:rFonts w:eastAsia="Calibri" w:cs="Calibri"/>
        </w:rPr>
        <w:t>In FY 202</w:t>
      </w:r>
      <w:r w:rsidR="00C906DC" w:rsidRPr="00B8144F">
        <w:rPr>
          <w:rFonts w:eastAsia="Calibri" w:cs="Calibri"/>
        </w:rPr>
        <w:t>7</w:t>
      </w:r>
      <w:r w:rsidRPr="00B8144F">
        <w:rPr>
          <w:rFonts w:eastAsia="Calibri" w:cs="Calibri"/>
        </w:rPr>
        <w:t>, a similar monitoring effort is anticipated</w:t>
      </w:r>
      <w:r w:rsidR="00C906DC" w:rsidRPr="00B8144F">
        <w:rPr>
          <w:rFonts w:eastAsia="Calibri" w:cs="Calibri"/>
        </w:rPr>
        <w:t>.</w:t>
      </w:r>
      <w:r w:rsidRPr="00B8144F">
        <w:rPr>
          <w:rFonts w:eastAsia="Calibri" w:cs="Calibri"/>
        </w:rPr>
        <w:t xml:space="preserve"> Changes</w:t>
      </w:r>
      <w:r w:rsidRPr="00730D28">
        <w:rPr>
          <w:rFonts w:eastAsia="Calibri" w:cs="Calibri"/>
        </w:rPr>
        <w:t xml:space="preserve"> to the monitoring schedule will be made after considering input from the Cypress Creek Basin Steering Committee, and through the coordinated monitoring process. The specific locations, parameters, and sampling frequencies for FY 202</w:t>
      </w:r>
      <w:r w:rsidR="00C906DC">
        <w:rPr>
          <w:rFonts w:eastAsia="Calibri" w:cs="Calibri"/>
        </w:rPr>
        <w:t>7</w:t>
      </w:r>
      <w:r w:rsidRPr="00730D28">
        <w:rPr>
          <w:rFonts w:eastAsia="Calibri" w:cs="Calibri"/>
        </w:rPr>
        <w:t xml:space="preserve"> will be provided in the Cypress Creek Basin QAPP Appendix B monitoring schedule.</w:t>
      </w:r>
    </w:p>
    <w:p w14:paraId="1BBEFA3C" w14:textId="77777777" w:rsidR="00984212" w:rsidRPr="00617BB4" w:rsidRDefault="00984212" w:rsidP="00984212">
      <w:pPr>
        <w:pStyle w:val="BodyText"/>
        <w:rPr>
          <w:sz w:val="22"/>
          <w:szCs w:val="22"/>
        </w:rPr>
      </w:pPr>
      <w:r w:rsidRPr="00617BB4">
        <w:rPr>
          <w:sz w:val="22"/>
          <w:szCs w:val="22"/>
        </w:rPr>
        <w:t xml:space="preserve">All monitoring will be completed according to the Performing Party QAPP, the </w:t>
      </w:r>
      <w:r w:rsidRPr="00617BB4">
        <w:rPr>
          <w:i/>
          <w:iCs/>
          <w:sz w:val="22"/>
          <w:szCs w:val="22"/>
        </w:rPr>
        <w:t>TCEQ Surface Water Quality Monitoring Procedures, Volume 1: Physical and Chemical Monitoring Methods</w:t>
      </w:r>
      <w:r w:rsidRPr="00617BB4">
        <w:rPr>
          <w:sz w:val="22"/>
          <w:szCs w:val="22"/>
        </w:rPr>
        <w:t xml:space="preserve"> (RG-415) and the </w:t>
      </w:r>
      <w:r w:rsidRPr="00617BB4">
        <w:rPr>
          <w:i/>
          <w:iCs/>
          <w:sz w:val="22"/>
          <w:szCs w:val="22"/>
        </w:rPr>
        <w:t>TCEQ Surface Water Quality Monitoring Procedures, Volume 2: Methods for Collecting and Analyzing Biological Assemblage and Habitat Data</w:t>
      </w:r>
      <w:r w:rsidRPr="00617BB4">
        <w:rPr>
          <w:sz w:val="22"/>
          <w:szCs w:val="22"/>
        </w:rPr>
        <w:t xml:space="preserve"> (RG-416).</w:t>
      </w:r>
    </w:p>
    <w:p w14:paraId="08928261" w14:textId="77777777" w:rsidR="00984212" w:rsidRPr="00617BB4" w:rsidRDefault="00984212" w:rsidP="00984212">
      <w:pPr>
        <w:pStyle w:val="BodyText"/>
        <w:rPr>
          <w:sz w:val="22"/>
          <w:szCs w:val="22"/>
        </w:rPr>
      </w:pPr>
      <w:r w:rsidRPr="00617BB4">
        <w:rPr>
          <w:rStyle w:val="Strong"/>
          <w:sz w:val="22"/>
          <w:szCs w:val="22"/>
        </w:rPr>
        <w:t>Coordinated Monitoring Meeting—</w:t>
      </w:r>
      <w:r w:rsidRPr="00617BB4">
        <w:rPr>
          <w:sz w:val="22"/>
          <w:szCs w:val="22"/>
        </w:rPr>
        <w:t xml:space="preserve">The Performing Party will hold an annual coordinated monitoring meeting as described in the FY2026-2027 CRP Guidance. Qualified monitoring organizations will be invited to attend the working meeting in which monitoring needs and purposes will be discussed segment by segment and station by station. Information from participants and stakeholders will be used to select stations and parameters that will enhance overall water quality monitoring coverage, eliminate duplication of effort, and address basin priorities. A summary of the changes to the monitoring schedule will be provided to the participants within two weeks of the meeting. Changes to the monitoring schedule will be entered into the statewide Coordinated Monitoring Schedule (CMS; </w:t>
      </w:r>
      <w:hyperlink r:id="rId8">
        <w:r w:rsidRPr="00617BB4">
          <w:rPr>
            <w:sz w:val="22"/>
            <w:szCs w:val="22"/>
          </w:rPr>
          <w:t>cms.lcra.org</w:t>
        </w:r>
      </w:hyperlink>
      <w:r w:rsidRPr="00617BB4">
        <w:rPr>
          <w:sz w:val="22"/>
          <w:szCs w:val="22"/>
        </w:rPr>
        <w:t xml:space="preserve">) and communicated to </w:t>
      </w:r>
      <w:r w:rsidRPr="00617BB4">
        <w:rPr>
          <w:sz w:val="22"/>
          <w:szCs w:val="22"/>
        </w:rPr>
        <w:lastRenderedPageBreak/>
        <w:t>meeting attendees. Changes to monitoring schedules that occur during the year will be entered into the CMS and communicated to meeting attendees. All requirements related to meetings will be followed and required meetings will be conducted in-person or via TCEQ approved virtual format.</w:t>
      </w:r>
    </w:p>
    <w:p w14:paraId="77A067A6" w14:textId="77777777" w:rsidR="00984212" w:rsidRPr="00617BB4" w:rsidRDefault="00984212" w:rsidP="00984212">
      <w:pPr>
        <w:pStyle w:val="BodyText"/>
        <w:rPr>
          <w:sz w:val="22"/>
          <w:szCs w:val="22"/>
        </w:rPr>
      </w:pPr>
      <w:r w:rsidRPr="00617BB4">
        <w:rPr>
          <w:b/>
          <w:bCs/>
          <w:sz w:val="22"/>
          <w:szCs w:val="22"/>
        </w:rPr>
        <w:t>Monitoring Activities</w:t>
      </w:r>
      <w:r w:rsidRPr="00617BB4">
        <w:rPr>
          <w:sz w:val="22"/>
          <w:szCs w:val="22"/>
        </w:rPr>
        <w:t>—Each progress report will include a description of activities including all types of monitoring performed, number of sampling events, and the types of monitoring conducted in the quarter. The Performing Party will complete and submit a monitoring activities report as an attachment to the progress report.</w:t>
      </w:r>
    </w:p>
    <w:p w14:paraId="5FB55625" w14:textId="77777777" w:rsidR="00984212" w:rsidRPr="007C7221" w:rsidRDefault="00984212" w:rsidP="009759B4">
      <w:pPr>
        <w:pStyle w:val="BodyText"/>
        <w:spacing w:before="240"/>
        <w:rPr>
          <w:sz w:val="22"/>
          <w:szCs w:val="22"/>
        </w:rPr>
      </w:pPr>
      <w:bookmarkStart w:id="2" w:name="Deliverables_and_Dues_Dates:"/>
      <w:bookmarkStart w:id="3" w:name="TASK_4:_DATA_MANAGEMENT"/>
      <w:bookmarkEnd w:id="2"/>
      <w:bookmarkEnd w:id="3"/>
      <w:r w:rsidRPr="007C7221">
        <w:rPr>
          <w:sz w:val="22"/>
          <w:szCs w:val="22"/>
        </w:rPr>
        <w:t>Deliverables and Due Dates:</w:t>
      </w:r>
    </w:p>
    <w:p w14:paraId="4AB6B99C" w14:textId="77777777" w:rsidR="00984212" w:rsidRPr="007C7221" w:rsidRDefault="00984212" w:rsidP="00984212">
      <w:pPr>
        <w:pStyle w:val="BodyTextBetweenLists"/>
        <w:rPr>
          <w:rStyle w:val="Emphasis"/>
          <w:szCs w:val="22"/>
        </w:rPr>
      </w:pPr>
      <w:r w:rsidRPr="007C7221">
        <w:rPr>
          <w:rStyle w:val="Emphasis"/>
          <w:szCs w:val="22"/>
        </w:rPr>
        <w:t>September 1, 2025 through August 31, 2026</w:t>
      </w:r>
    </w:p>
    <w:p w14:paraId="5EFB6C4A" w14:textId="77777777" w:rsidR="00984212" w:rsidRPr="007C7221" w:rsidRDefault="00984212" w:rsidP="00984212">
      <w:pPr>
        <w:pStyle w:val="ListLetterSmall"/>
        <w:numPr>
          <w:ilvl w:val="0"/>
          <w:numId w:val="23"/>
        </w:numPr>
        <w:rPr>
          <w:rFonts w:ascii="Lucida Bright" w:hAnsi="Lucida Bright"/>
          <w:sz w:val="22"/>
        </w:rPr>
      </w:pPr>
      <w:r w:rsidRPr="007C7221">
        <w:rPr>
          <w:rFonts w:ascii="Lucida Bright" w:hAnsi="Lucida Bright"/>
          <w:sz w:val="22"/>
        </w:rPr>
        <w:t>Conduct water quality monitoring, submit monitoring activities report, summarize activities, and submit with progress report</w:t>
      </w:r>
      <w:r w:rsidRPr="007C7221">
        <w:rPr>
          <w:rFonts w:ascii="Lucida Bright" w:hAnsi="Lucida Bright"/>
          <w:spacing w:val="-33"/>
          <w:sz w:val="22"/>
        </w:rPr>
        <w:t>—</w:t>
      </w:r>
      <w:r w:rsidRPr="007C7221">
        <w:rPr>
          <w:rFonts w:ascii="Lucida Bright" w:hAnsi="Lucida Bright"/>
          <w:sz w:val="22"/>
        </w:rPr>
        <w:t>December 15, 2025; March 15 and June 15,</w:t>
      </w:r>
      <w:r w:rsidRPr="007C7221">
        <w:rPr>
          <w:rFonts w:ascii="Lucida Bright" w:hAnsi="Lucida Bright"/>
          <w:spacing w:val="-21"/>
          <w:sz w:val="22"/>
        </w:rPr>
        <w:t xml:space="preserve"> </w:t>
      </w:r>
      <w:r w:rsidRPr="007C7221">
        <w:rPr>
          <w:rFonts w:ascii="Lucida Bright" w:hAnsi="Lucida Bright"/>
          <w:sz w:val="22"/>
        </w:rPr>
        <w:t>2026</w:t>
      </w:r>
    </w:p>
    <w:p w14:paraId="6E762BD2"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Coordinated Monitoring Meeting—between March 15 and April 30, 2026</w:t>
      </w:r>
    </w:p>
    <w:p w14:paraId="467C086E"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Coordinated Monitoring Meeting Summary of Changes—within 2 weeks following the meeting</w:t>
      </w:r>
    </w:p>
    <w:p w14:paraId="1F5C4898"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Email</w:t>
      </w:r>
      <w:r w:rsidRPr="007C7221">
        <w:rPr>
          <w:rFonts w:ascii="Lucida Bright" w:hAnsi="Lucida Bright"/>
          <w:spacing w:val="-5"/>
          <w:sz w:val="22"/>
        </w:rPr>
        <w:t xml:space="preserve"> </w:t>
      </w:r>
      <w:r w:rsidRPr="007C7221">
        <w:rPr>
          <w:rFonts w:ascii="Lucida Bright" w:hAnsi="Lucida Bright"/>
          <w:sz w:val="22"/>
        </w:rPr>
        <w:t>notification</w:t>
      </w:r>
      <w:r w:rsidRPr="007C7221">
        <w:rPr>
          <w:rFonts w:ascii="Lucida Bright" w:hAnsi="Lucida Bright"/>
          <w:spacing w:val="-8"/>
          <w:sz w:val="22"/>
        </w:rPr>
        <w:t xml:space="preserve"> </w:t>
      </w:r>
      <w:r w:rsidRPr="007C7221">
        <w:rPr>
          <w:rFonts w:ascii="Lucida Bright" w:hAnsi="Lucida Bright"/>
          <w:sz w:val="22"/>
        </w:rPr>
        <w:t>that</w:t>
      </w:r>
      <w:r w:rsidRPr="007C7221">
        <w:rPr>
          <w:rFonts w:ascii="Lucida Bright" w:hAnsi="Lucida Bright"/>
          <w:spacing w:val="-5"/>
          <w:sz w:val="22"/>
        </w:rPr>
        <w:t xml:space="preserve"> </w:t>
      </w:r>
      <w:r w:rsidRPr="007C7221">
        <w:rPr>
          <w:rFonts w:ascii="Lucida Bright" w:hAnsi="Lucida Bright"/>
          <w:sz w:val="22"/>
        </w:rPr>
        <w:t>Coordinated</w:t>
      </w:r>
      <w:r w:rsidRPr="007C7221">
        <w:rPr>
          <w:rFonts w:ascii="Lucida Bright" w:hAnsi="Lucida Bright"/>
          <w:spacing w:val="-6"/>
          <w:sz w:val="22"/>
        </w:rPr>
        <w:t xml:space="preserve"> </w:t>
      </w:r>
      <w:r w:rsidRPr="007C7221">
        <w:rPr>
          <w:rFonts w:ascii="Lucida Bright" w:hAnsi="Lucida Bright"/>
          <w:sz w:val="22"/>
        </w:rPr>
        <w:t>Monitoring</w:t>
      </w:r>
      <w:r w:rsidRPr="007C7221">
        <w:rPr>
          <w:rFonts w:ascii="Lucida Bright" w:hAnsi="Lucida Bright"/>
          <w:spacing w:val="-7"/>
          <w:sz w:val="22"/>
        </w:rPr>
        <w:t xml:space="preserve"> </w:t>
      </w:r>
      <w:r w:rsidRPr="007C7221">
        <w:rPr>
          <w:rFonts w:ascii="Lucida Bright" w:hAnsi="Lucida Bright"/>
          <w:sz w:val="22"/>
        </w:rPr>
        <w:t>Schedule</w:t>
      </w:r>
      <w:r w:rsidRPr="007C7221">
        <w:rPr>
          <w:rFonts w:ascii="Lucida Bright" w:hAnsi="Lucida Bright"/>
          <w:spacing w:val="-6"/>
          <w:sz w:val="22"/>
        </w:rPr>
        <w:t xml:space="preserve"> </w:t>
      </w:r>
      <w:r w:rsidRPr="007C7221">
        <w:rPr>
          <w:rFonts w:ascii="Lucida Bright" w:hAnsi="Lucida Bright"/>
          <w:sz w:val="22"/>
        </w:rPr>
        <w:t>updates</w:t>
      </w:r>
      <w:r w:rsidRPr="007C7221">
        <w:rPr>
          <w:rFonts w:ascii="Lucida Bright" w:hAnsi="Lucida Bright"/>
          <w:spacing w:val="-6"/>
          <w:sz w:val="22"/>
        </w:rPr>
        <w:t xml:space="preserve"> </w:t>
      </w:r>
      <w:r w:rsidRPr="007C7221">
        <w:rPr>
          <w:rFonts w:ascii="Lucida Bright" w:hAnsi="Lucida Bright"/>
          <w:sz w:val="22"/>
        </w:rPr>
        <w:t>are</w:t>
      </w:r>
      <w:r w:rsidRPr="007C7221">
        <w:rPr>
          <w:rFonts w:ascii="Lucida Bright" w:hAnsi="Lucida Bright"/>
          <w:spacing w:val="-3"/>
          <w:sz w:val="22"/>
        </w:rPr>
        <w:t xml:space="preserve"> </w:t>
      </w:r>
      <w:r w:rsidRPr="007C7221">
        <w:rPr>
          <w:rFonts w:ascii="Lucida Bright" w:hAnsi="Lucida Bright"/>
          <w:sz w:val="22"/>
        </w:rPr>
        <w:t>complete</w:t>
      </w:r>
      <w:r w:rsidRPr="007C7221">
        <w:rPr>
          <w:rFonts w:ascii="Lucida Bright" w:hAnsi="Lucida Bright"/>
          <w:spacing w:val="-9"/>
          <w:sz w:val="22"/>
        </w:rPr>
        <w:t>—</w:t>
      </w:r>
      <w:r w:rsidRPr="007C7221">
        <w:rPr>
          <w:rFonts w:ascii="Lucida Bright" w:hAnsi="Lucida Bright"/>
          <w:sz w:val="22"/>
        </w:rPr>
        <w:t>May</w:t>
      </w:r>
      <w:r w:rsidRPr="007C7221">
        <w:rPr>
          <w:rFonts w:ascii="Lucida Bright" w:hAnsi="Lucida Bright"/>
          <w:spacing w:val="-5"/>
          <w:sz w:val="22"/>
        </w:rPr>
        <w:t xml:space="preserve"> </w:t>
      </w:r>
      <w:r w:rsidRPr="007C7221">
        <w:rPr>
          <w:rFonts w:ascii="Lucida Bright" w:hAnsi="Lucida Bright"/>
          <w:sz w:val="22"/>
        </w:rPr>
        <w:t>31,</w:t>
      </w:r>
      <w:r w:rsidRPr="007C7221">
        <w:rPr>
          <w:rFonts w:ascii="Lucida Bright" w:hAnsi="Lucida Bright"/>
          <w:spacing w:val="-6"/>
          <w:sz w:val="22"/>
        </w:rPr>
        <w:t xml:space="preserve"> </w:t>
      </w:r>
      <w:r w:rsidRPr="007C7221">
        <w:rPr>
          <w:rFonts w:ascii="Lucida Bright" w:hAnsi="Lucida Bright"/>
          <w:sz w:val="22"/>
        </w:rPr>
        <w:t>2026</w:t>
      </w:r>
    </w:p>
    <w:p w14:paraId="3259A086" w14:textId="77777777" w:rsidR="00984212" w:rsidRPr="007C7221" w:rsidRDefault="00984212" w:rsidP="00984212">
      <w:pPr>
        <w:pStyle w:val="BodyTextBetweenLists"/>
        <w:rPr>
          <w:rStyle w:val="Emphasis"/>
          <w:szCs w:val="22"/>
        </w:rPr>
      </w:pPr>
      <w:r w:rsidRPr="007C7221">
        <w:rPr>
          <w:rStyle w:val="Emphasis"/>
          <w:szCs w:val="22"/>
        </w:rPr>
        <w:t>September 1, 2026 through August 31, 2027</w:t>
      </w:r>
    </w:p>
    <w:p w14:paraId="336FFC16" w14:textId="77777777" w:rsidR="00984212" w:rsidRPr="007C7221" w:rsidRDefault="00984212" w:rsidP="00984212">
      <w:pPr>
        <w:pStyle w:val="ListLetterSmall"/>
        <w:numPr>
          <w:ilvl w:val="0"/>
          <w:numId w:val="24"/>
        </w:numPr>
        <w:rPr>
          <w:rFonts w:ascii="Lucida Bright" w:hAnsi="Lucida Bright"/>
          <w:sz w:val="22"/>
        </w:rPr>
      </w:pPr>
      <w:r w:rsidRPr="007C7221">
        <w:rPr>
          <w:rFonts w:ascii="Lucida Bright" w:hAnsi="Lucida Bright"/>
          <w:sz w:val="22"/>
        </w:rPr>
        <w:t>Conduct water quality monitoring, submit monitoring activities report, summarize activities, and submit with progress report</w:t>
      </w:r>
      <w:r w:rsidRPr="007C7221">
        <w:rPr>
          <w:rFonts w:ascii="Lucida Bright" w:hAnsi="Lucida Bright"/>
          <w:spacing w:val="-33"/>
          <w:sz w:val="22"/>
        </w:rPr>
        <w:t>—</w:t>
      </w:r>
      <w:r w:rsidRPr="007C7221">
        <w:rPr>
          <w:rFonts w:ascii="Lucida Bright" w:hAnsi="Lucida Bright"/>
          <w:sz w:val="22"/>
        </w:rPr>
        <w:t>September 15 and December 15, 2026; March 15 and June 15 and August 15, 2027</w:t>
      </w:r>
    </w:p>
    <w:p w14:paraId="6A26B5CD"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Coordinated Monitoring Meeting—between March 15 and April 30, 2027</w:t>
      </w:r>
    </w:p>
    <w:p w14:paraId="6A196332"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Coordinated Monitoring Meeting Summary of Changes—within 2 weeks following the meeting</w:t>
      </w:r>
    </w:p>
    <w:p w14:paraId="6AFF5A51" w14:textId="77777777" w:rsidR="00984212" w:rsidRPr="007C7221" w:rsidRDefault="00984212" w:rsidP="00984212">
      <w:pPr>
        <w:pStyle w:val="ListLetterSmall"/>
        <w:rPr>
          <w:rFonts w:ascii="Lucida Bright" w:hAnsi="Lucida Bright"/>
          <w:sz w:val="22"/>
        </w:rPr>
      </w:pPr>
      <w:r w:rsidRPr="007C7221">
        <w:rPr>
          <w:rFonts w:ascii="Lucida Bright" w:hAnsi="Lucida Bright"/>
          <w:sz w:val="22"/>
        </w:rPr>
        <w:t>Email</w:t>
      </w:r>
      <w:r w:rsidRPr="007C7221">
        <w:rPr>
          <w:rFonts w:ascii="Lucida Bright" w:hAnsi="Lucida Bright"/>
          <w:spacing w:val="-5"/>
          <w:sz w:val="22"/>
        </w:rPr>
        <w:t xml:space="preserve"> </w:t>
      </w:r>
      <w:r w:rsidRPr="007C7221">
        <w:rPr>
          <w:rFonts w:ascii="Lucida Bright" w:hAnsi="Lucida Bright"/>
          <w:sz w:val="22"/>
        </w:rPr>
        <w:t>notification</w:t>
      </w:r>
      <w:r w:rsidRPr="007C7221">
        <w:rPr>
          <w:rFonts w:ascii="Lucida Bright" w:hAnsi="Lucida Bright"/>
          <w:spacing w:val="-8"/>
          <w:sz w:val="22"/>
        </w:rPr>
        <w:t xml:space="preserve"> </w:t>
      </w:r>
      <w:r w:rsidRPr="007C7221">
        <w:rPr>
          <w:rFonts w:ascii="Lucida Bright" w:hAnsi="Lucida Bright"/>
          <w:sz w:val="22"/>
        </w:rPr>
        <w:t>that</w:t>
      </w:r>
      <w:r w:rsidRPr="007C7221">
        <w:rPr>
          <w:rFonts w:ascii="Lucida Bright" w:hAnsi="Lucida Bright"/>
          <w:spacing w:val="-5"/>
          <w:sz w:val="22"/>
        </w:rPr>
        <w:t xml:space="preserve"> </w:t>
      </w:r>
      <w:r w:rsidRPr="007C7221">
        <w:rPr>
          <w:rFonts w:ascii="Lucida Bright" w:hAnsi="Lucida Bright"/>
          <w:sz w:val="22"/>
        </w:rPr>
        <w:t>Coordinated</w:t>
      </w:r>
      <w:r w:rsidRPr="007C7221">
        <w:rPr>
          <w:rFonts w:ascii="Lucida Bright" w:hAnsi="Lucida Bright"/>
          <w:spacing w:val="-6"/>
          <w:sz w:val="22"/>
        </w:rPr>
        <w:t xml:space="preserve"> </w:t>
      </w:r>
      <w:r w:rsidRPr="007C7221">
        <w:rPr>
          <w:rFonts w:ascii="Lucida Bright" w:hAnsi="Lucida Bright"/>
          <w:sz w:val="22"/>
        </w:rPr>
        <w:t>Monitoring</w:t>
      </w:r>
      <w:r w:rsidRPr="007C7221">
        <w:rPr>
          <w:rFonts w:ascii="Lucida Bright" w:hAnsi="Lucida Bright"/>
          <w:spacing w:val="-6"/>
          <w:sz w:val="22"/>
        </w:rPr>
        <w:t xml:space="preserve"> </w:t>
      </w:r>
      <w:r w:rsidRPr="007C7221">
        <w:rPr>
          <w:rFonts w:ascii="Lucida Bright" w:hAnsi="Lucida Bright"/>
          <w:sz w:val="22"/>
        </w:rPr>
        <w:t>Schedule</w:t>
      </w:r>
      <w:r w:rsidRPr="007C7221">
        <w:rPr>
          <w:rFonts w:ascii="Lucida Bright" w:hAnsi="Lucida Bright"/>
          <w:spacing w:val="-7"/>
          <w:sz w:val="22"/>
        </w:rPr>
        <w:t xml:space="preserve"> </w:t>
      </w:r>
      <w:r w:rsidRPr="007C7221">
        <w:rPr>
          <w:rFonts w:ascii="Lucida Bright" w:hAnsi="Lucida Bright"/>
          <w:sz w:val="22"/>
        </w:rPr>
        <w:t>updates</w:t>
      </w:r>
      <w:r w:rsidRPr="007C7221">
        <w:rPr>
          <w:rFonts w:ascii="Lucida Bright" w:hAnsi="Lucida Bright"/>
          <w:spacing w:val="-5"/>
          <w:sz w:val="22"/>
        </w:rPr>
        <w:t xml:space="preserve"> </w:t>
      </w:r>
      <w:r w:rsidRPr="007C7221">
        <w:rPr>
          <w:rFonts w:ascii="Lucida Bright" w:hAnsi="Lucida Bright"/>
          <w:sz w:val="22"/>
        </w:rPr>
        <w:t>are</w:t>
      </w:r>
      <w:r w:rsidRPr="007C7221">
        <w:rPr>
          <w:rFonts w:ascii="Lucida Bright" w:hAnsi="Lucida Bright"/>
          <w:spacing w:val="-4"/>
          <w:sz w:val="22"/>
        </w:rPr>
        <w:t xml:space="preserve"> </w:t>
      </w:r>
      <w:r w:rsidRPr="007C7221">
        <w:rPr>
          <w:rFonts w:ascii="Lucida Bright" w:hAnsi="Lucida Bright"/>
          <w:sz w:val="22"/>
        </w:rPr>
        <w:t>complete</w:t>
      </w:r>
      <w:r w:rsidRPr="007C7221">
        <w:rPr>
          <w:rFonts w:ascii="Lucida Bright" w:hAnsi="Lucida Bright"/>
          <w:spacing w:val="-8"/>
          <w:sz w:val="22"/>
        </w:rPr>
        <w:t>—</w:t>
      </w:r>
      <w:r w:rsidRPr="007C7221">
        <w:rPr>
          <w:rFonts w:ascii="Lucida Bright" w:hAnsi="Lucida Bright"/>
          <w:sz w:val="22"/>
        </w:rPr>
        <w:t>May</w:t>
      </w:r>
      <w:r w:rsidRPr="007C7221">
        <w:rPr>
          <w:rFonts w:ascii="Lucida Bright" w:hAnsi="Lucida Bright"/>
          <w:spacing w:val="-6"/>
          <w:sz w:val="22"/>
        </w:rPr>
        <w:t xml:space="preserve"> </w:t>
      </w:r>
      <w:r w:rsidRPr="007C7221">
        <w:rPr>
          <w:rFonts w:ascii="Lucida Bright" w:hAnsi="Lucida Bright"/>
          <w:sz w:val="22"/>
        </w:rPr>
        <w:t>31,</w:t>
      </w:r>
      <w:r w:rsidRPr="007C7221">
        <w:rPr>
          <w:rFonts w:ascii="Lucida Bright" w:hAnsi="Lucida Bright"/>
          <w:spacing w:val="-5"/>
          <w:sz w:val="22"/>
        </w:rPr>
        <w:t xml:space="preserve"> </w:t>
      </w:r>
      <w:r w:rsidRPr="007C7221">
        <w:rPr>
          <w:rFonts w:ascii="Lucida Bright" w:hAnsi="Lucida Bright"/>
          <w:sz w:val="22"/>
        </w:rPr>
        <w:t>2027</w:t>
      </w:r>
    </w:p>
    <w:p w14:paraId="6138B781" w14:textId="77777777" w:rsidR="00984212" w:rsidRPr="00F26E99" w:rsidRDefault="00984212" w:rsidP="00984212">
      <w:pPr>
        <w:pStyle w:val="BodyText"/>
      </w:pPr>
      <w:r w:rsidRPr="00F26E99">
        <w:br w:type="page"/>
      </w:r>
    </w:p>
    <w:p w14:paraId="57E4C739" w14:textId="77777777" w:rsidR="00984212" w:rsidRPr="00E05CBF" w:rsidRDefault="00984212" w:rsidP="00984212">
      <w:pPr>
        <w:pStyle w:val="ExhibitHead1"/>
        <w:rPr>
          <w:sz w:val="22"/>
          <w:szCs w:val="22"/>
        </w:rPr>
      </w:pPr>
      <w:r w:rsidRPr="00E05CBF">
        <w:rPr>
          <w:sz w:val="22"/>
          <w:szCs w:val="22"/>
        </w:rPr>
        <w:lastRenderedPageBreak/>
        <w:t>Task 4: Data Management</w:t>
      </w:r>
    </w:p>
    <w:p w14:paraId="7EBBBD1B" w14:textId="77777777" w:rsidR="00984212" w:rsidRPr="00617BB4" w:rsidRDefault="00984212" w:rsidP="00984212">
      <w:pPr>
        <w:pStyle w:val="BodyText"/>
        <w:rPr>
          <w:sz w:val="22"/>
          <w:szCs w:val="22"/>
        </w:rPr>
      </w:pPr>
      <w:r w:rsidRPr="00617BB4">
        <w:rPr>
          <w:rStyle w:val="Strong"/>
          <w:sz w:val="22"/>
          <w:szCs w:val="22"/>
        </w:rPr>
        <w:t>Objectives:</w:t>
      </w:r>
      <w:r w:rsidRPr="00617BB4">
        <w:rPr>
          <w:sz w:val="22"/>
          <w:szCs w:val="22"/>
        </w:rPr>
        <w:t xml:space="preserve"> To manage a quality-assured water quality monitoring database and submit data to TCEQ in the required format for inclusion in the Surface Water Quality Monitoring Information System (SWQMIS) database.</w:t>
      </w:r>
    </w:p>
    <w:p w14:paraId="0352A821" w14:textId="77777777" w:rsidR="00984212" w:rsidRPr="00617BB4" w:rsidRDefault="00984212" w:rsidP="00984212">
      <w:pPr>
        <w:pStyle w:val="BodyText"/>
        <w:rPr>
          <w:sz w:val="22"/>
          <w:szCs w:val="22"/>
        </w:rPr>
      </w:pPr>
      <w:r w:rsidRPr="00617BB4">
        <w:rPr>
          <w:rStyle w:val="Strong"/>
          <w:sz w:val="22"/>
          <w:szCs w:val="22"/>
        </w:rPr>
        <w:t>Task Description:</w:t>
      </w:r>
      <w:r w:rsidRPr="00617BB4">
        <w:rPr>
          <w:sz w:val="22"/>
          <w:szCs w:val="22"/>
        </w:rPr>
        <w:t xml:space="preserve"> Surface water quality monitoring data files, including biological, special studies, and targeted monitoring data, as applicable, will be transferred to TCEQ in the correct format using the TCEQ file structure. Binary large object (BLOB) files will be provided with biological data as outlined in the FY2026-2027 CRP Guidance. Data collected under this contract which are not able to be submitted to TCEQ prior to the end of the contract term will be submitted within the contract established for FY2028-2029. Data that was collected under the previous contract established for FY2024-2025 which were not able to be submitted to TCEQ prior to the end of the contract term will be submitted within the contract established for FY2026-2027.</w:t>
      </w:r>
    </w:p>
    <w:p w14:paraId="15089C15" w14:textId="77777777" w:rsidR="00984212" w:rsidRPr="00617BB4" w:rsidRDefault="00984212" w:rsidP="00984212">
      <w:pPr>
        <w:pStyle w:val="BodyTextBetweenLists"/>
        <w:rPr>
          <w:szCs w:val="22"/>
        </w:rPr>
      </w:pPr>
      <w:r w:rsidRPr="00617BB4">
        <w:rPr>
          <w:szCs w:val="22"/>
        </w:rPr>
        <w:t>The Performing Party will complete the following subtasks:</w:t>
      </w:r>
    </w:p>
    <w:p w14:paraId="06589DE9" w14:textId="77777777" w:rsidR="00984212" w:rsidRPr="00617BB4" w:rsidRDefault="00984212" w:rsidP="00984212">
      <w:pPr>
        <w:pStyle w:val="BodyText"/>
        <w:rPr>
          <w:sz w:val="22"/>
          <w:szCs w:val="22"/>
        </w:rPr>
      </w:pPr>
      <w:r w:rsidRPr="00617BB4">
        <w:rPr>
          <w:sz w:val="22"/>
          <w:szCs w:val="22"/>
        </w:rPr>
        <w:t>The Performing Party will review each data set using the Data Review Checklist and the SWQMIS Data Loader. A Data Summary (including information on data completeness), Data Review Checklist, and the SWQMIS Validator Report will be submitted with each data set. The Data Summary will contain basic identifying information about the data set, information regarding inconsistencies and errors identified during data verification and validation steps, or problems with data collection efforts.</w:t>
      </w:r>
    </w:p>
    <w:p w14:paraId="10AEBAAE" w14:textId="77777777" w:rsidR="00984212" w:rsidRPr="00617BB4" w:rsidRDefault="00984212" w:rsidP="00984212">
      <w:pPr>
        <w:pStyle w:val="BodyText"/>
        <w:rPr>
          <w:sz w:val="22"/>
          <w:szCs w:val="22"/>
        </w:rPr>
      </w:pPr>
      <w:r w:rsidRPr="00617BB4">
        <w:rPr>
          <w:sz w:val="22"/>
          <w:szCs w:val="22"/>
        </w:rPr>
        <w:t>The Performing Party will submit surface water quality monitoring data and BLOB files to TCEQ as specified in the Deliverables and Due Dates subsection of this task. The Performing Party will complete and submit a data submittal progress report as an attachment to the Task 1 progress report. The data submittal progress report will document the extent to which data collected has been submitted to TCEQ. The report should summarize the status of data submittals for all data providers described in the Performing Party’s basin-wide QAPP. The report will track and document that all data and BLOB file submittals are completed and submitted to TCEQ. The report will also track and document that data intended for inclusion in the IR is submitted to TCEQ. For data to be considered in the IR, the Performing Party and subcontractor data (if applicable) must be submitted to TCEQ as specified in the Deliverables and Due Dates subsection of this task. TCEQ’s call for data for inclusion in the IR is November 1 (early submission date) and December 1 (final submission date) of even numbered years. The Task 1 progress report can be utilized to provide any additional information regarding data submittals not captured in the data submittal progress report.</w:t>
      </w:r>
    </w:p>
    <w:p w14:paraId="1A3C602F" w14:textId="77777777" w:rsidR="00984212" w:rsidRPr="00617BB4" w:rsidRDefault="00984212" w:rsidP="00984212">
      <w:pPr>
        <w:pStyle w:val="BodyText"/>
        <w:rPr>
          <w:sz w:val="22"/>
          <w:szCs w:val="22"/>
        </w:rPr>
      </w:pPr>
      <w:r w:rsidRPr="00617BB4">
        <w:rPr>
          <w:sz w:val="22"/>
          <w:szCs w:val="22"/>
        </w:rPr>
        <w:t>Station location requests will be submitted via SWQMIS, and data correction requests will be submitted to the TCEQ CRP project manager within an agreed upon timeframe.</w:t>
      </w:r>
    </w:p>
    <w:p w14:paraId="19429CAE" w14:textId="77777777" w:rsidR="00984212" w:rsidRPr="00617BB4" w:rsidRDefault="00984212" w:rsidP="00984212">
      <w:pPr>
        <w:pStyle w:val="BodyText"/>
        <w:rPr>
          <w:sz w:val="22"/>
          <w:szCs w:val="22"/>
        </w:rPr>
      </w:pPr>
      <w:r w:rsidRPr="00617BB4">
        <w:rPr>
          <w:sz w:val="22"/>
          <w:szCs w:val="22"/>
        </w:rPr>
        <w:t xml:space="preserve">Water quality data approved by TCEQ will be posted on the Performing Party’s webpage at least two times per year, or a link will be provided to the </w:t>
      </w:r>
      <w:hyperlink r:id="rId9">
        <w:r w:rsidRPr="00617BB4">
          <w:rPr>
            <w:rStyle w:val="Hyperlink"/>
            <w:sz w:val="22"/>
            <w:szCs w:val="22"/>
          </w:rPr>
          <w:t>TCEQ Surface Water Quality Web Reporting Tool</w:t>
        </w:r>
      </w:hyperlink>
      <w:r w:rsidRPr="00617BB4">
        <w:rPr>
          <w:sz w:val="22"/>
          <w:szCs w:val="22"/>
        </w:rPr>
        <w:t>.</w:t>
      </w:r>
      <w:r w:rsidRPr="00617BB4">
        <w:rPr>
          <w:rStyle w:val="FootnoteReference"/>
          <w:sz w:val="22"/>
          <w:szCs w:val="22"/>
        </w:rPr>
        <w:footnoteReference w:id="1"/>
      </w:r>
    </w:p>
    <w:p w14:paraId="2B817C21" w14:textId="77777777" w:rsidR="00984212" w:rsidRPr="00BB1784" w:rsidRDefault="00984212" w:rsidP="009759B4">
      <w:pPr>
        <w:pStyle w:val="BodyText"/>
        <w:spacing w:before="240"/>
        <w:rPr>
          <w:sz w:val="22"/>
          <w:szCs w:val="22"/>
        </w:rPr>
      </w:pPr>
      <w:r w:rsidRPr="00BB1784">
        <w:rPr>
          <w:sz w:val="22"/>
          <w:szCs w:val="22"/>
        </w:rPr>
        <w:lastRenderedPageBreak/>
        <w:t>Deliverables and Due Dates:</w:t>
      </w:r>
    </w:p>
    <w:p w14:paraId="2183CB51" w14:textId="77777777" w:rsidR="00984212" w:rsidRPr="00BB1784" w:rsidRDefault="00984212" w:rsidP="00984212">
      <w:pPr>
        <w:pStyle w:val="BodyTextBetweenLists"/>
        <w:rPr>
          <w:rStyle w:val="Emphasis"/>
          <w:szCs w:val="22"/>
        </w:rPr>
      </w:pPr>
      <w:r w:rsidRPr="00BB1784">
        <w:rPr>
          <w:rStyle w:val="Emphasis"/>
          <w:szCs w:val="22"/>
        </w:rPr>
        <w:t>September 1, 2025 through August 31, 2026</w:t>
      </w:r>
    </w:p>
    <w:p w14:paraId="581BA749" w14:textId="77777777" w:rsidR="00984212" w:rsidRPr="00BB1784" w:rsidRDefault="00984212" w:rsidP="00984212">
      <w:pPr>
        <w:pStyle w:val="ListLetterSmall"/>
        <w:numPr>
          <w:ilvl w:val="0"/>
          <w:numId w:val="25"/>
        </w:numPr>
        <w:rPr>
          <w:rFonts w:ascii="Lucida Bright" w:hAnsi="Lucida Bright"/>
          <w:sz w:val="22"/>
        </w:rPr>
      </w:pPr>
      <w:bookmarkStart w:id="4" w:name="_Hlk112936709"/>
      <w:r w:rsidRPr="00BB1784">
        <w:rPr>
          <w:rFonts w:ascii="Lucida Bright" w:hAnsi="Lucida Bright"/>
          <w:sz w:val="22"/>
        </w:rPr>
        <w:t>Surface water quality monitoring data files, SWQMIS Validator Report, Data Review Checklist, and Data Summary—December 1, 2025; March 1 and August 1, 2026</w:t>
      </w:r>
    </w:p>
    <w:bookmarkEnd w:id="4"/>
    <w:p w14:paraId="37ED7296"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Surface water quality monitoring data updates to webpage or link to TCEQ’s water quality data—February 1 and August 1, 2026</w:t>
      </w:r>
    </w:p>
    <w:p w14:paraId="2B51C0E1"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BLOB files—submit within timeframe(s) agreed upon with TCEQ CRP project manager</w:t>
      </w:r>
    </w:p>
    <w:p w14:paraId="7A615027" w14:textId="77777777" w:rsidR="00984212" w:rsidRPr="00BB1784" w:rsidRDefault="00984212" w:rsidP="00984212">
      <w:pPr>
        <w:pStyle w:val="ListLetterSmall"/>
        <w:rPr>
          <w:rFonts w:ascii="Lucida Bright" w:hAnsi="Lucida Bright"/>
          <w:sz w:val="22"/>
        </w:rPr>
      </w:pPr>
      <w:bookmarkStart w:id="5" w:name="_Hlk118204427"/>
      <w:r w:rsidRPr="00BB1784">
        <w:rPr>
          <w:rFonts w:ascii="Lucida Bright" w:hAnsi="Lucida Bright"/>
          <w:sz w:val="22"/>
        </w:rPr>
        <w:t>Data submittal progress report, submitted with progress reports</w:t>
      </w:r>
      <w:bookmarkEnd w:id="5"/>
      <w:r w:rsidRPr="00BB1784">
        <w:rPr>
          <w:rFonts w:ascii="Lucida Bright" w:hAnsi="Lucida Bright"/>
          <w:sz w:val="22"/>
        </w:rPr>
        <w:t>—December 15, 2025; March 15 and June 15, 2026</w:t>
      </w:r>
    </w:p>
    <w:p w14:paraId="024CCEE6"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Station location requests submitted to SWQMIS—as needed each quarter</w:t>
      </w:r>
    </w:p>
    <w:p w14:paraId="57AA023A"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Data correction requests, as needed—within timeframe(s) agreed upon with TCEQ CRP project manager</w:t>
      </w:r>
    </w:p>
    <w:p w14:paraId="30245F83" w14:textId="77777777" w:rsidR="00984212" w:rsidRPr="00BB1784" w:rsidRDefault="00984212" w:rsidP="00984212">
      <w:pPr>
        <w:pStyle w:val="BodyTextBetweenLists"/>
        <w:rPr>
          <w:rStyle w:val="Emphasis"/>
          <w:szCs w:val="22"/>
        </w:rPr>
      </w:pPr>
      <w:r w:rsidRPr="00BB1784">
        <w:rPr>
          <w:rStyle w:val="Emphasis"/>
          <w:szCs w:val="22"/>
        </w:rPr>
        <w:t>September 1, 2026 through August 31, 2027</w:t>
      </w:r>
    </w:p>
    <w:p w14:paraId="7E70F968" w14:textId="77777777" w:rsidR="00984212" w:rsidRPr="00BB1784" w:rsidRDefault="00984212" w:rsidP="00984212">
      <w:pPr>
        <w:pStyle w:val="ListLetterSmall"/>
        <w:numPr>
          <w:ilvl w:val="0"/>
          <w:numId w:val="26"/>
        </w:numPr>
        <w:rPr>
          <w:rFonts w:ascii="Lucida Bright" w:hAnsi="Lucida Bright"/>
          <w:sz w:val="22"/>
        </w:rPr>
      </w:pPr>
      <w:bookmarkStart w:id="6" w:name="_Hlk112936716"/>
      <w:r w:rsidRPr="00BB1784">
        <w:rPr>
          <w:rFonts w:ascii="Lucida Bright" w:hAnsi="Lucida Bright"/>
          <w:sz w:val="22"/>
        </w:rPr>
        <w:t>Surface water quality monitoring data files SWQMIS Validator Report, Data Review Checklist, and Data Summary—November 1 and December 1, 2026; March 1 and August 1, 2027</w:t>
      </w:r>
    </w:p>
    <w:bookmarkEnd w:id="6"/>
    <w:p w14:paraId="4F1CFC4C"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Surface water quality monitoring data updates posted to webpage, or link to TCEQ’s water quality data—February 1 and August 1, 2027</w:t>
      </w:r>
    </w:p>
    <w:p w14:paraId="2607D0A5"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BLOB files—submit within timeframe(s) agreed upon with TCEQ CRP project manager</w:t>
      </w:r>
    </w:p>
    <w:p w14:paraId="14DC0609"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Data submittal progress report, submitted with progress reports—September 15 and December 15, 2026; March 15 and June 15 and August 15, 2027</w:t>
      </w:r>
    </w:p>
    <w:p w14:paraId="57E054AB"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Station location requests submitted to SWQMIS—as needed each quarter</w:t>
      </w:r>
    </w:p>
    <w:p w14:paraId="541D1650"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Data correction requests, as needed—within timeframe(s) agreed upon with TCEQ CRP project manager</w:t>
      </w:r>
    </w:p>
    <w:p w14:paraId="7AEDCE01" w14:textId="77777777" w:rsidR="00984212" w:rsidRPr="00F26E99" w:rsidRDefault="00984212" w:rsidP="00984212">
      <w:pPr>
        <w:pStyle w:val="BodyText"/>
      </w:pPr>
      <w:r w:rsidRPr="00F26E99">
        <w:br w:type="page"/>
      </w:r>
    </w:p>
    <w:p w14:paraId="1004FF7E" w14:textId="77777777" w:rsidR="00984212" w:rsidRPr="00E05CBF" w:rsidRDefault="00984212" w:rsidP="00984212">
      <w:pPr>
        <w:pStyle w:val="ExhibitHead1"/>
        <w:rPr>
          <w:sz w:val="22"/>
          <w:szCs w:val="22"/>
        </w:rPr>
      </w:pPr>
      <w:r w:rsidRPr="00E05CBF">
        <w:rPr>
          <w:sz w:val="22"/>
          <w:szCs w:val="22"/>
        </w:rPr>
        <w:lastRenderedPageBreak/>
        <w:t>Task 5: Data Analysis and Reporting</w:t>
      </w:r>
    </w:p>
    <w:p w14:paraId="2ACA3375" w14:textId="77777777" w:rsidR="00984212" w:rsidRPr="00AB3931" w:rsidRDefault="00984212" w:rsidP="00984212">
      <w:pPr>
        <w:pStyle w:val="BodyText"/>
        <w:rPr>
          <w:sz w:val="22"/>
          <w:szCs w:val="22"/>
        </w:rPr>
      </w:pPr>
      <w:r w:rsidRPr="00AB3931">
        <w:rPr>
          <w:rStyle w:val="Strong"/>
          <w:sz w:val="22"/>
          <w:szCs w:val="22"/>
        </w:rPr>
        <w:t>Objectives:</w:t>
      </w:r>
      <w:r w:rsidRPr="00AB3931">
        <w:rPr>
          <w:sz w:val="22"/>
          <w:szCs w:val="22"/>
        </w:rPr>
        <w:t xml:space="preserve"> Conduct data analysis and develop reports that provide information to describe water quality and identify priority water quality issues for further investigation or action.</w:t>
      </w:r>
    </w:p>
    <w:p w14:paraId="2A24C933" w14:textId="77777777" w:rsidR="00984212" w:rsidRPr="00AB3931" w:rsidRDefault="00984212" w:rsidP="00984212">
      <w:pPr>
        <w:pStyle w:val="BodyTextBeforeList"/>
        <w:rPr>
          <w:szCs w:val="22"/>
        </w:rPr>
      </w:pPr>
      <w:r w:rsidRPr="00AB3931">
        <w:rPr>
          <w:szCs w:val="22"/>
        </w:rPr>
        <w:t>This work will:</w:t>
      </w:r>
    </w:p>
    <w:p w14:paraId="60477E1F" w14:textId="77777777" w:rsidR="00984212" w:rsidRPr="00AB3931" w:rsidRDefault="00984212" w:rsidP="00984212">
      <w:pPr>
        <w:pStyle w:val="ListBullet"/>
        <w:spacing w:after="80" w:line="264" w:lineRule="auto"/>
        <w:rPr>
          <w:sz w:val="22"/>
          <w:szCs w:val="22"/>
        </w:rPr>
      </w:pPr>
      <w:r w:rsidRPr="00AB3931">
        <w:rPr>
          <w:sz w:val="22"/>
          <w:szCs w:val="22"/>
        </w:rPr>
        <w:t>Correlate watershed characteristics with water quality conditions.</w:t>
      </w:r>
    </w:p>
    <w:p w14:paraId="31BE47E0" w14:textId="77777777" w:rsidR="00984212" w:rsidRPr="00AB3931" w:rsidRDefault="00984212" w:rsidP="00984212">
      <w:pPr>
        <w:pStyle w:val="ListBullet"/>
        <w:spacing w:after="80" w:line="264" w:lineRule="auto"/>
        <w:rPr>
          <w:sz w:val="22"/>
          <w:szCs w:val="22"/>
        </w:rPr>
      </w:pPr>
      <w:r w:rsidRPr="00AB3931">
        <w:rPr>
          <w:sz w:val="22"/>
          <w:szCs w:val="22"/>
        </w:rPr>
        <w:t>Highlight areas where water quality appears to be improving or declining.</w:t>
      </w:r>
    </w:p>
    <w:p w14:paraId="6BD82354" w14:textId="77777777" w:rsidR="00984212" w:rsidRPr="00AB3931" w:rsidRDefault="00984212" w:rsidP="00984212">
      <w:pPr>
        <w:pStyle w:val="ListBullet"/>
        <w:spacing w:after="80" w:line="264" w:lineRule="auto"/>
        <w:rPr>
          <w:sz w:val="22"/>
          <w:szCs w:val="22"/>
        </w:rPr>
      </w:pPr>
      <w:r w:rsidRPr="00AB3931">
        <w:rPr>
          <w:sz w:val="22"/>
          <w:szCs w:val="22"/>
        </w:rPr>
        <w:t>Support</w:t>
      </w:r>
      <w:r w:rsidRPr="00AB3931">
        <w:rPr>
          <w:spacing w:val="-3"/>
          <w:sz w:val="22"/>
          <w:szCs w:val="22"/>
        </w:rPr>
        <w:t xml:space="preserve"> </w:t>
      </w:r>
      <w:r w:rsidRPr="00AB3931">
        <w:rPr>
          <w:sz w:val="22"/>
          <w:szCs w:val="22"/>
        </w:rPr>
        <w:t>or</w:t>
      </w:r>
      <w:r w:rsidRPr="00AB3931">
        <w:rPr>
          <w:spacing w:val="-6"/>
          <w:sz w:val="22"/>
          <w:szCs w:val="22"/>
        </w:rPr>
        <w:t xml:space="preserve"> </w:t>
      </w:r>
      <w:r w:rsidRPr="00AB3931">
        <w:rPr>
          <w:sz w:val="22"/>
          <w:szCs w:val="22"/>
        </w:rPr>
        <w:t>validate the IR findings.</w:t>
      </w:r>
    </w:p>
    <w:p w14:paraId="5DD04E3E" w14:textId="77777777" w:rsidR="00984212" w:rsidRPr="00AB3931" w:rsidRDefault="00984212" w:rsidP="00984212">
      <w:pPr>
        <w:pStyle w:val="ListBullet"/>
        <w:spacing w:after="80" w:line="264" w:lineRule="auto"/>
        <w:rPr>
          <w:sz w:val="22"/>
          <w:szCs w:val="22"/>
        </w:rPr>
      </w:pPr>
      <w:r w:rsidRPr="00AB3931">
        <w:rPr>
          <w:sz w:val="22"/>
          <w:szCs w:val="22"/>
        </w:rPr>
        <w:t>Support planning of monitoring efforts.</w:t>
      </w:r>
    </w:p>
    <w:p w14:paraId="1B567CC3" w14:textId="77777777" w:rsidR="00984212" w:rsidRPr="00AB3931" w:rsidRDefault="00984212" w:rsidP="00984212">
      <w:pPr>
        <w:pStyle w:val="ListBullet"/>
        <w:spacing w:after="80" w:line="264" w:lineRule="auto"/>
        <w:rPr>
          <w:sz w:val="22"/>
          <w:szCs w:val="22"/>
        </w:rPr>
      </w:pPr>
      <w:r w:rsidRPr="00AB3931">
        <w:rPr>
          <w:sz w:val="22"/>
          <w:szCs w:val="22"/>
        </w:rPr>
        <w:t>Identify areas where nonpoint source management efforts may be applied.</w:t>
      </w:r>
    </w:p>
    <w:p w14:paraId="5FFD0F51" w14:textId="77777777" w:rsidR="00984212" w:rsidRPr="00AB3931" w:rsidRDefault="00984212" w:rsidP="00984212">
      <w:pPr>
        <w:pStyle w:val="ListBullet"/>
        <w:spacing w:after="80" w:line="264" w:lineRule="auto"/>
        <w:rPr>
          <w:sz w:val="22"/>
          <w:szCs w:val="22"/>
        </w:rPr>
      </w:pPr>
      <w:r w:rsidRPr="00AB3931">
        <w:rPr>
          <w:sz w:val="22"/>
          <w:szCs w:val="22"/>
        </w:rPr>
        <w:t>Provide information for stakeholders to discuss at Steering Committee meetings.</w:t>
      </w:r>
    </w:p>
    <w:p w14:paraId="0A418566" w14:textId="3F836DF7" w:rsidR="00984212" w:rsidRPr="003A5AA8" w:rsidRDefault="00984212" w:rsidP="00AA5C91">
      <w:pPr>
        <w:pStyle w:val="BodyTextafterTableorList"/>
        <w:spacing w:line="240" w:lineRule="auto"/>
        <w:rPr>
          <w:szCs w:val="28"/>
        </w:rPr>
      </w:pPr>
      <w:r w:rsidRPr="00AB3931">
        <w:rPr>
          <w:b/>
        </w:rPr>
        <w:t xml:space="preserve">Task Description: </w:t>
      </w:r>
      <w:r w:rsidR="00C906DC">
        <w:rPr>
          <w:szCs w:val="28"/>
        </w:rPr>
        <w:t xml:space="preserve">In </w:t>
      </w:r>
      <w:r w:rsidR="00C906DC" w:rsidRPr="00BE6284">
        <w:rPr>
          <w:szCs w:val="28"/>
        </w:rPr>
        <w:t>FY 202</w:t>
      </w:r>
      <w:r w:rsidR="00C906DC">
        <w:rPr>
          <w:szCs w:val="28"/>
        </w:rPr>
        <w:t xml:space="preserve">6, </w:t>
      </w:r>
      <w:r w:rsidR="00C906DC" w:rsidRPr="00BE6284">
        <w:rPr>
          <w:szCs w:val="28"/>
        </w:rPr>
        <w:t xml:space="preserve">a </w:t>
      </w:r>
      <w:r w:rsidR="003A5AA8">
        <w:rPr>
          <w:szCs w:val="28"/>
        </w:rPr>
        <w:t>Program Update</w:t>
      </w:r>
      <w:r w:rsidR="00C906DC" w:rsidRPr="00BE6284">
        <w:rPr>
          <w:szCs w:val="28"/>
        </w:rPr>
        <w:t xml:space="preserve"> </w:t>
      </w:r>
      <w:r w:rsidR="00357334" w:rsidRPr="00AB3931">
        <w:t>Basin Highlights Report</w:t>
      </w:r>
      <w:r w:rsidR="00357334" w:rsidRPr="00BE6284">
        <w:rPr>
          <w:szCs w:val="28"/>
        </w:rPr>
        <w:t xml:space="preserve"> </w:t>
      </w:r>
      <w:r w:rsidR="00C906DC" w:rsidRPr="00BE6284">
        <w:rPr>
          <w:szCs w:val="28"/>
        </w:rPr>
        <w:t xml:space="preserve">will be </w:t>
      </w:r>
      <w:r w:rsidR="003A5AA8">
        <w:rPr>
          <w:szCs w:val="28"/>
        </w:rPr>
        <w:t>author</w:t>
      </w:r>
      <w:r w:rsidR="00C906DC" w:rsidRPr="00BE6284">
        <w:rPr>
          <w:szCs w:val="28"/>
        </w:rPr>
        <w:t xml:space="preserve">ed. The </w:t>
      </w:r>
      <w:r w:rsidR="003A5AA8">
        <w:rPr>
          <w:szCs w:val="28"/>
        </w:rPr>
        <w:t>Program Update</w:t>
      </w:r>
      <w:r w:rsidR="00C906DC" w:rsidRPr="00BE6284">
        <w:rPr>
          <w:szCs w:val="28"/>
        </w:rPr>
        <w:t xml:space="preserve"> will follow the version described below as detailed in the FY 202</w:t>
      </w:r>
      <w:r w:rsidR="003A5AA8">
        <w:rPr>
          <w:szCs w:val="28"/>
        </w:rPr>
        <w:t>6</w:t>
      </w:r>
      <w:r w:rsidR="00C906DC" w:rsidRPr="00BE6284">
        <w:rPr>
          <w:szCs w:val="28"/>
        </w:rPr>
        <w:t>-202</w:t>
      </w:r>
      <w:r w:rsidR="003A5AA8">
        <w:rPr>
          <w:szCs w:val="28"/>
        </w:rPr>
        <w:t>7</w:t>
      </w:r>
      <w:r w:rsidR="00C906DC" w:rsidRPr="00BE6284">
        <w:rPr>
          <w:szCs w:val="28"/>
        </w:rPr>
        <w:t xml:space="preserve"> CRP Guidance. For FY 202</w:t>
      </w:r>
      <w:r w:rsidR="003A5AA8">
        <w:rPr>
          <w:szCs w:val="28"/>
        </w:rPr>
        <w:t>7</w:t>
      </w:r>
      <w:r w:rsidR="00C906DC">
        <w:rPr>
          <w:szCs w:val="28"/>
        </w:rPr>
        <w:t xml:space="preserve">, </w:t>
      </w:r>
      <w:r w:rsidR="00C906DC" w:rsidRPr="00BE6284">
        <w:rPr>
          <w:szCs w:val="28"/>
        </w:rPr>
        <w:t xml:space="preserve">a </w:t>
      </w:r>
      <w:r w:rsidR="003A5AA8">
        <w:rPr>
          <w:szCs w:val="28"/>
        </w:rPr>
        <w:t xml:space="preserve">Watershed Characterization </w:t>
      </w:r>
      <w:r w:rsidR="00357334" w:rsidRPr="00AB3931">
        <w:t>Basin Highlights Report</w:t>
      </w:r>
      <w:r w:rsidR="00357334" w:rsidRPr="00BE6284">
        <w:rPr>
          <w:szCs w:val="28"/>
        </w:rPr>
        <w:t xml:space="preserve"> </w:t>
      </w:r>
      <w:r w:rsidR="00C906DC" w:rsidRPr="00BE6284">
        <w:rPr>
          <w:szCs w:val="28"/>
        </w:rPr>
        <w:t xml:space="preserve">will be </w:t>
      </w:r>
      <w:r w:rsidR="00C906DC">
        <w:rPr>
          <w:szCs w:val="28"/>
        </w:rPr>
        <w:t>complet</w:t>
      </w:r>
      <w:r w:rsidR="00C906DC" w:rsidRPr="00BE6284">
        <w:rPr>
          <w:szCs w:val="28"/>
        </w:rPr>
        <w:t xml:space="preserve">ed. The </w:t>
      </w:r>
      <w:r w:rsidR="003A5AA8">
        <w:rPr>
          <w:szCs w:val="28"/>
        </w:rPr>
        <w:t>Watershed Characterization</w:t>
      </w:r>
      <w:r w:rsidR="00C906DC" w:rsidRPr="00BE6284">
        <w:rPr>
          <w:szCs w:val="28"/>
        </w:rPr>
        <w:t xml:space="preserve"> will follow the version described below as detailed </w:t>
      </w:r>
      <w:r w:rsidR="00C906DC">
        <w:rPr>
          <w:szCs w:val="28"/>
        </w:rPr>
        <w:t xml:space="preserve">in the </w:t>
      </w:r>
      <w:r w:rsidR="00C906DC" w:rsidRPr="00BE6284">
        <w:rPr>
          <w:szCs w:val="28"/>
        </w:rPr>
        <w:t>Guidance.</w:t>
      </w:r>
    </w:p>
    <w:p w14:paraId="0EA74DE9" w14:textId="77777777" w:rsidR="00984212" w:rsidRPr="00AB3931" w:rsidRDefault="00984212" w:rsidP="00984212">
      <w:pPr>
        <w:pStyle w:val="BodyTextBetweenLists"/>
        <w:rPr>
          <w:szCs w:val="22"/>
        </w:rPr>
      </w:pPr>
      <w:r w:rsidRPr="00AB3931">
        <w:rPr>
          <w:szCs w:val="22"/>
        </w:rPr>
        <w:t>The Performing Party will complete the following subtasks:</w:t>
      </w:r>
    </w:p>
    <w:p w14:paraId="43648B6E" w14:textId="77777777" w:rsidR="00984212" w:rsidRPr="00AB3931" w:rsidRDefault="00984212" w:rsidP="00984212">
      <w:pPr>
        <w:pStyle w:val="BodyText"/>
        <w:rPr>
          <w:sz w:val="22"/>
          <w:szCs w:val="22"/>
        </w:rPr>
      </w:pPr>
      <w:r w:rsidRPr="00AB3931">
        <w:rPr>
          <w:rStyle w:val="Strong"/>
          <w:sz w:val="22"/>
          <w:szCs w:val="22"/>
        </w:rPr>
        <w:t>Basin Highlights Report—</w:t>
      </w:r>
      <w:r w:rsidRPr="00AB3931">
        <w:rPr>
          <w:sz w:val="22"/>
          <w:szCs w:val="22"/>
        </w:rPr>
        <w:t>The Performing Party may vary the content of the Basin Highlights Report to reduce repetition of information that does not change on an annual basis. The Basin Highlights Report will follow one of the versions described below as detailed in the FY2026-2027 CRP Guidance.</w:t>
      </w:r>
    </w:p>
    <w:p w14:paraId="61802A5A" w14:textId="77777777" w:rsidR="003A5AA8" w:rsidRPr="00AB3931" w:rsidRDefault="003A5AA8" w:rsidP="003A5AA8">
      <w:pPr>
        <w:pStyle w:val="BodyTextBetweenLists"/>
        <w:rPr>
          <w:rStyle w:val="Emphasis"/>
          <w:szCs w:val="22"/>
        </w:rPr>
      </w:pPr>
      <w:r w:rsidRPr="00AB3931">
        <w:rPr>
          <w:rStyle w:val="Emphasis"/>
          <w:szCs w:val="22"/>
        </w:rPr>
        <w:t>Program Update</w:t>
      </w:r>
    </w:p>
    <w:p w14:paraId="0CE59CBC" w14:textId="77777777" w:rsidR="003A5AA8" w:rsidRPr="00AB3931" w:rsidRDefault="003A5AA8" w:rsidP="003A5AA8">
      <w:pPr>
        <w:pStyle w:val="ListBullet"/>
        <w:spacing w:after="80" w:line="264" w:lineRule="auto"/>
        <w:rPr>
          <w:sz w:val="22"/>
          <w:szCs w:val="22"/>
        </w:rPr>
      </w:pPr>
      <w:r w:rsidRPr="00AB3931">
        <w:rPr>
          <w:sz w:val="22"/>
          <w:szCs w:val="22"/>
        </w:rPr>
        <w:t>An update on major basin activities, changes, and events.</w:t>
      </w:r>
    </w:p>
    <w:p w14:paraId="5FBA8A33" w14:textId="77777777" w:rsidR="003A5AA8" w:rsidRPr="00AB3931" w:rsidRDefault="003A5AA8" w:rsidP="003A5AA8">
      <w:pPr>
        <w:pStyle w:val="ListBullet"/>
        <w:spacing w:after="80" w:line="264" w:lineRule="auto"/>
        <w:rPr>
          <w:sz w:val="22"/>
          <w:szCs w:val="22"/>
        </w:rPr>
      </w:pPr>
      <w:r w:rsidRPr="00AB3931">
        <w:rPr>
          <w:sz w:val="22"/>
          <w:szCs w:val="22"/>
        </w:rPr>
        <w:t>An update of basin water quality monitoring activities.</w:t>
      </w:r>
    </w:p>
    <w:p w14:paraId="12549F52" w14:textId="77777777" w:rsidR="003A5AA8" w:rsidRPr="00AB3931" w:rsidRDefault="003A5AA8" w:rsidP="003A5AA8">
      <w:pPr>
        <w:pStyle w:val="ListBullet"/>
        <w:spacing w:after="80" w:line="264" w:lineRule="auto"/>
        <w:rPr>
          <w:sz w:val="22"/>
          <w:szCs w:val="22"/>
        </w:rPr>
      </w:pPr>
      <w:r w:rsidRPr="00AB3931">
        <w:rPr>
          <w:sz w:val="22"/>
          <w:szCs w:val="22"/>
        </w:rPr>
        <w:t>An update on the top water quality concerns and issues in the basin.</w:t>
      </w:r>
    </w:p>
    <w:p w14:paraId="5370C9A1" w14:textId="77777777" w:rsidR="003A5AA8" w:rsidRPr="00AB3931" w:rsidRDefault="003A5AA8" w:rsidP="003A5AA8">
      <w:pPr>
        <w:pStyle w:val="ListBullet"/>
        <w:spacing w:after="80" w:line="264" w:lineRule="auto"/>
        <w:rPr>
          <w:sz w:val="22"/>
          <w:szCs w:val="22"/>
        </w:rPr>
      </w:pPr>
      <w:r w:rsidRPr="00AB3931">
        <w:rPr>
          <w:sz w:val="22"/>
          <w:szCs w:val="22"/>
        </w:rPr>
        <w:t>A summary of findings from special studies.</w:t>
      </w:r>
    </w:p>
    <w:p w14:paraId="28F41236" w14:textId="77777777" w:rsidR="003A5AA8" w:rsidRPr="00AB3931" w:rsidRDefault="003A5AA8" w:rsidP="003A5AA8">
      <w:pPr>
        <w:pStyle w:val="ListBullet"/>
        <w:spacing w:after="80" w:line="264" w:lineRule="auto"/>
        <w:rPr>
          <w:sz w:val="22"/>
          <w:szCs w:val="22"/>
        </w:rPr>
      </w:pPr>
      <w:r w:rsidRPr="00AB3931">
        <w:rPr>
          <w:sz w:val="22"/>
          <w:szCs w:val="22"/>
        </w:rPr>
        <w:t>Maps showing the location of sampling sites and major water quality issues.</w:t>
      </w:r>
    </w:p>
    <w:p w14:paraId="366B6A99" w14:textId="77777777" w:rsidR="003A5AA8" w:rsidRPr="00AB3931" w:rsidRDefault="003A5AA8" w:rsidP="003A5AA8">
      <w:pPr>
        <w:pStyle w:val="ListBullet"/>
        <w:spacing w:after="80" w:line="264" w:lineRule="auto"/>
        <w:rPr>
          <w:sz w:val="22"/>
          <w:szCs w:val="22"/>
        </w:rPr>
      </w:pPr>
      <w:r w:rsidRPr="00AB3931">
        <w:rPr>
          <w:sz w:val="22"/>
          <w:szCs w:val="22"/>
        </w:rPr>
        <w:t>An update on public outreach and educational activities.</w:t>
      </w:r>
    </w:p>
    <w:p w14:paraId="51E54646" w14:textId="77777777" w:rsidR="003A5AA8" w:rsidRPr="00AB3931" w:rsidRDefault="003A5AA8" w:rsidP="003A5AA8">
      <w:pPr>
        <w:pStyle w:val="ListBullet"/>
        <w:spacing w:after="80" w:line="264" w:lineRule="auto"/>
        <w:rPr>
          <w:sz w:val="22"/>
          <w:szCs w:val="22"/>
        </w:rPr>
      </w:pPr>
      <w:r w:rsidRPr="00AB3931">
        <w:rPr>
          <w:sz w:val="22"/>
          <w:szCs w:val="22"/>
        </w:rPr>
        <w:t>Links to additional resources.</w:t>
      </w:r>
    </w:p>
    <w:p w14:paraId="0D8633A2" w14:textId="5A6CF351" w:rsidR="00984212" w:rsidRPr="00AB3931" w:rsidRDefault="00984212" w:rsidP="00984212">
      <w:pPr>
        <w:pStyle w:val="BodyTextBetweenLists"/>
        <w:rPr>
          <w:rStyle w:val="Emphasis"/>
          <w:szCs w:val="22"/>
        </w:rPr>
      </w:pPr>
      <w:r w:rsidRPr="00AB3931">
        <w:rPr>
          <w:rStyle w:val="Emphasis"/>
          <w:szCs w:val="22"/>
        </w:rPr>
        <w:t>Watershed Characterization</w:t>
      </w:r>
    </w:p>
    <w:p w14:paraId="70778CAD" w14:textId="77777777" w:rsidR="00984212" w:rsidRPr="00AB3931" w:rsidRDefault="00984212" w:rsidP="00984212">
      <w:pPr>
        <w:pStyle w:val="ListBullet"/>
        <w:spacing w:after="80" w:line="264" w:lineRule="auto"/>
        <w:rPr>
          <w:sz w:val="22"/>
          <w:szCs w:val="22"/>
        </w:rPr>
      </w:pPr>
      <w:r w:rsidRPr="00AB3931">
        <w:rPr>
          <w:sz w:val="22"/>
          <w:szCs w:val="22"/>
        </w:rPr>
        <w:t>Descriptions of segments with the areas of impairment or interest described.</w:t>
      </w:r>
    </w:p>
    <w:p w14:paraId="355CC198" w14:textId="77777777" w:rsidR="00984212" w:rsidRPr="00AB3931" w:rsidRDefault="00984212" w:rsidP="00984212">
      <w:pPr>
        <w:pStyle w:val="ListBullet"/>
        <w:spacing w:after="80" w:line="264" w:lineRule="auto"/>
        <w:rPr>
          <w:sz w:val="22"/>
          <w:szCs w:val="22"/>
        </w:rPr>
      </w:pPr>
      <w:r w:rsidRPr="00AB3931">
        <w:rPr>
          <w:sz w:val="22"/>
          <w:szCs w:val="22"/>
        </w:rPr>
        <w:t>Stream or reservoir hydrology.</w:t>
      </w:r>
    </w:p>
    <w:p w14:paraId="427BC64D" w14:textId="77777777" w:rsidR="00984212" w:rsidRPr="00AB3931" w:rsidRDefault="00984212" w:rsidP="00984212">
      <w:pPr>
        <w:pStyle w:val="ListBullet"/>
        <w:spacing w:after="80" w:line="264" w:lineRule="auto"/>
        <w:rPr>
          <w:sz w:val="22"/>
          <w:szCs w:val="22"/>
        </w:rPr>
      </w:pPr>
      <w:r w:rsidRPr="00AB3931">
        <w:rPr>
          <w:sz w:val="22"/>
          <w:szCs w:val="22"/>
        </w:rPr>
        <w:t>Impairment and area of interest description.</w:t>
      </w:r>
    </w:p>
    <w:p w14:paraId="217348E6" w14:textId="77777777" w:rsidR="00984212" w:rsidRPr="00AB3931" w:rsidRDefault="00984212" w:rsidP="00984212">
      <w:pPr>
        <w:pStyle w:val="ListBullet"/>
        <w:spacing w:after="80" w:line="264" w:lineRule="auto"/>
        <w:rPr>
          <w:sz w:val="22"/>
          <w:szCs w:val="22"/>
        </w:rPr>
      </w:pPr>
      <w:r w:rsidRPr="00AB3931">
        <w:rPr>
          <w:sz w:val="22"/>
          <w:szCs w:val="22"/>
        </w:rPr>
        <w:t>Land use and natural characteristics.</w:t>
      </w:r>
    </w:p>
    <w:p w14:paraId="5EC0599F" w14:textId="77777777" w:rsidR="00984212" w:rsidRPr="00AB3931" w:rsidRDefault="00984212" w:rsidP="00984212">
      <w:pPr>
        <w:pStyle w:val="ListBullet"/>
        <w:spacing w:after="80" w:line="264" w:lineRule="auto"/>
        <w:rPr>
          <w:sz w:val="22"/>
          <w:szCs w:val="22"/>
        </w:rPr>
      </w:pPr>
      <w:r w:rsidRPr="00AB3931">
        <w:rPr>
          <w:sz w:val="22"/>
          <w:szCs w:val="22"/>
        </w:rPr>
        <w:t>Potential causes of each impairment.</w:t>
      </w:r>
    </w:p>
    <w:p w14:paraId="143B2033" w14:textId="77777777" w:rsidR="00984212" w:rsidRPr="00AB3931" w:rsidRDefault="00984212" w:rsidP="00984212">
      <w:pPr>
        <w:pStyle w:val="ListBullet"/>
        <w:spacing w:after="80" w:line="264" w:lineRule="auto"/>
        <w:rPr>
          <w:sz w:val="22"/>
          <w:szCs w:val="22"/>
        </w:rPr>
      </w:pPr>
      <w:r w:rsidRPr="00AB3931">
        <w:rPr>
          <w:sz w:val="22"/>
          <w:szCs w:val="22"/>
        </w:rPr>
        <w:lastRenderedPageBreak/>
        <w:t>Potential stakeholders.</w:t>
      </w:r>
    </w:p>
    <w:p w14:paraId="3B4F0C89" w14:textId="77777777" w:rsidR="00984212" w:rsidRPr="00AB3931" w:rsidRDefault="00984212" w:rsidP="00984212">
      <w:pPr>
        <w:pStyle w:val="ListBullet"/>
        <w:spacing w:after="80" w:line="264" w:lineRule="auto"/>
        <w:rPr>
          <w:sz w:val="22"/>
          <w:szCs w:val="22"/>
        </w:rPr>
      </w:pPr>
      <w:r w:rsidRPr="00AB3931">
        <w:rPr>
          <w:sz w:val="22"/>
          <w:szCs w:val="22"/>
        </w:rPr>
        <w:t>Recommendations for improving water quality.</w:t>
      </w:r>
    </w:p>
    <w:p w14:paraId="62A0AC99" w14:textId="77777777" w:rsidR="00984212" w:rsidRPr="00AB3931" w:rsidRDefault="00984212" w:rsidP="00984212">
      <w:pPr>
        <w:pStyle w:val="ListBullet"/>
        <w:spacing w:after="80" w:line="264" w:lineRule="auto"/>
        <w:rPr>
          <w:sz w:val="22"/>
          <w:szCs w:val="22"/>
        </w:rPr>
      </w:pPr>
      <w:r w:rsidRPr="00AB3931">
        <w:rPr>
          <w:sz w:val="22"/>
          <w:szCs w:val="22"/>
        </w:rPr>
        <w:t>Maps including water bodies and relevant spatial conditions.</w:t>
      </w:r>
    </w:p>
    <w:p w14:paraId="490A58B3" w14:textId="77777777" w:rsidR="00984212" w:rsidRPr="00AB3931" w:rsidRDefault="00984212" w:rsidP="00984212">
      <w:pPr>
        <w:pStyle w:val="ListBullet"/>
        <w:spacing w:after="80" w:line="264" w:lineRule="auto"/>
        <w:rPr>
          <w:sz w:val="22"/>
          <w:szCs w:val="22"/>
        </w:rPr>
      </w:pPr>
      <w:r w:rsidRPr="00AB3931">
        <w:rPr>
          <w:sz w:val="22"/>
          <w:szCs w:val="22"/>
        </w:rPr>
        <w:t>Ongoing projects.</w:t>
      </w:r>
    </w:p>
    <w:p w14:paraId="2CF9B32E" w14:textId="77777777" w:rsidR="00984212" w:rsidRPr="00AB3931" w:rsidRDefault="00984212" w:rsidP="00984212">
      <w:pPr>
        <w:pStyle w:val="ListBullet"/>
        <w:spacing w:after="80" w:line="264" w:lineRule="auto"/>
        <w:rPr>
          <w:sz w:val="22"/>
          <w:szCs w:val="22"/>
        </w:rPr>
      </w:pPr>
      <w:r w:rsidRPr="00AB3931">
        <w:rPr>
          <w:sz w:val="22"/>
          <w:szCs w:val="22"/>
        </w:rPr>
        <w:t>Images of water bodies and watershed areas being characterized.</w:t>
      </w:r>
    </w:p>
    <w:p w14:paraId="025BB1A0" w14:textId="77777777" w:rsidR="00984212" w:rsidRPr="00AB3931" w:rsidRDefault="00984212" w:rsidP="00984212">
      <w:pPr>
        <w:pStyle w:val="ListBullet"/>
        <w:spacing w:after="80" w:line="264" w:lineRule="auto"/>
        <w:rPr>
          <w:sz w:val="22"/>
          <w:szCs w:val="22"/>
        </w:rPr>
      </w:pPr>
      <w:r w:rsidRPr="00AB3931">
        <w:rPr>
          <w:sz w:val="22"/>
          <w:szCs w:val="22"/>
        </w:rPr>
        <w:t>Major watershed events (present and future).</w:t>
      </w:r>
    </w:p>
    <w:p w14:paraId="709FC6B9" w14:textId="77777777" w:rsidR="00984212" w:rsidRPr="00AB3931" w:rsidRDefault="00984212" w:rsidP="00AA5C91">
      <w:pPr>
        <w:pStyle w:val="BodyTextafterTableorList"/>
        <w:spacing w:line="240" w:lineRule="auto"/>
      </w:pPr>
      <w:r w:rsidRPr="00AB3931">
        <w:t>Electronic copies of the draft report and one electronic copy of the final report will be provided to the TCEQ CRP project manager. TCEQ will provide comments on the draft report and the Performing Party will address TCEQ comments. Final approval of the report will rest with TCEQ. The reports will be made available to Steering Committee members and all basin stakeholders and will be posted on the Performing Party’s webpage.</w:t>
      </w:r>
    </w:p>
    <w:p w14:paraId="34326FAE" w14:textId="77777777" w:rsidR="00984212" w:rsidRPr="00AB3931" w:rsidRDefault="00984212" w:rsidP="00896189">
      <w:pPr>
        <w:pStyle w:val="BodyText"/>
        <w:spacing w:before="240" w:after="240"/>
        <w:rPr>
          <w:sz w:val="22"/>
          <w:szCs w:val="22"/>
        </w:rPr>
      </w:pPr>
      <w:r w:rsidRPr="00AB3931">
        <w:rPr>
          <w:sz w:val="22"/>
          <w:szCs w:val="22"/>
        </w:rPr>
        <w:t>Deliverables and Due Dates:</w:t>
      </w:r>
    </w:p>
    <w:p w14:paraId="0DF32D9F" w14:textId="77777777" w:rsidR="00984212" w:rsidRPr="00BB1784" w:rsidRDefault="00984212" w:rsidP="00984212">
      <w:pPr>
        <w:pStyle w:val="BodyTextBeforeList"/>
        <w:rPr>
          <w:rStyle w:val="Emphasis"/>
          <w:szCs w:val="22"/>
        </w:rPr>
      </w:pPr>
      <w:r w:rsidRPr="00BB1784">
        <w:rPr>
          <w:rStyle w:val="Emphasis"/>
          <w:szCs w:val="22"/>
        </w:rPr>
        <w:t>September 1, 2025 through August 31, 2026</w:t>
      </w:r>
    </w:p>
    <w:p w14:paraId="4441DFB0" w14:textId="524F9B62" w:rsidR="00984212" w:rsidRPr="003A5AA8" w:rsidRDefault="003A5AA8" w:rsidP="00A3583E">
      <w:pPr>
        <w:pStyle w:val="ListLetterSmall"/>
        <w:numPr>
          <w:ilvl w:val="0"/>
          <w:numId w:val="33"/>
        </w:numPr>
        <w:rPr>
          <w:rFonts w:ascii="Lucida Bright" w:hAnsi="Lucida Bright"/>
          <w:sz w:val="22"/>
        </w:rPr>
      </w:pPr>
      <w:bookmarkStart w:id="7" w:name="_Hlk183440335"/>
      <w:r w:rsidRPr="003A5AA8">
        <w:rPr>
          <w:rFonts w:ascii="Lucida Bright" w:hAnsi="Lucida Bright"/>
          <w:sz w:val="22"/>
        </w:rPr>
        <w:t>Draft Basin Highlights Report—February 15, 2026</w:t>
      </w:r>
      <w:bookmarkEnd w:id="7"/>
    </w:p>
    <w:p w14:paraId="2E2F41CC"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Final Basin Highlights Report—May 15, 2026</w:t>
      </w:r>
    </w:p>
    <w:p w14:paraId="10B0E6CC"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Post Report to webpage—June 30, 2026</w:t>
      </w:r>
    </w:p>
    <w:p w14:paraId="18BEE01F" w14:textId="77777777" w:rsidR="00984212" w:rsidRPr="00BB1784" w:rsidRDefault="00984212" w:rsidP="00984212">
      <w:pPr>
        <w:pStyle w:val="BodyTextBetweenLists"/>
        <w:rPr>
          <w:rStyle w:val="Emphasis"/>
          <w:i w:val="0"/>
          <w:iCs w:val="0"/>
          <w:szCs w:val="22"/>
        </w:rPr>
      </w:pPr>
      <w:r w:rsidRPr="00BB1784">
        <w:rPr>
          <w:rStyle w:val="Emphasis"/>
          <w:szCs w:val="22"/>
        </w:rPr>
        <w:t>September 1, 2026 through August 31, 2027</w:t>
      </w:r>
    </w:p>
    <w:p w14:paraId="761FAA82" w14:textId="76F8F756" w:rsidR="00984212" w:rsidRPr="003A5AA8" w:rsidRDefault="00984212" w:rsidP="002B4D15">
      <w:pPr>
        <w:pStyle w:val="ListLetterSmall"/>
        <w:numPr>
          <w:ilvl w:val="0"/>
          <w:numId w:val="28"/>
        </w:numPr>
        <w:rPr>
          <w:rFonts w:ascii="Lucida Bright" w:hAnsi="Lucida Bright"/>
          <w:sz w:val="22"/>
        </w:rPr>
      </w:pPr>
      <w:r w:rsidRPr="003A5AA8">
        <w:rPr>
          <w:rFonts w:ascii="Lucida Bright" w:hAnsi="Lucida Bright"/>
          <w:sz w:val="22"/>
        </w:rPr>
        <w:t>Draft Basin Highlights Report—February 15,</w:t>
      </w:r>
      <w:r w:rsidRPr="003A5AA8">
        <w:rPr>
          <w:rFonts w:ascii="Lucida Bright" w:hAnsi="Lucida Bright"/>
          <w:spacing w:val="-29"/>
          <w:sz w:val="22"/>
        </w:rPr>
        <w:t xml:space="preserve"> </w:t>
      </w:r>
      <w:r w:rsidRPr="003A5AA8">
        <w:rPr>
          <w:rFonts w:ascii="Lucida Bright" w:hAnsi="Lucida Bright"/>
          <w:sz w:val="22"/>
        </w:rPr>
        <w:t>2027</w:t>
      </w:r>
    </w:p>
    <w:p w14:paraId="3D623885"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Final Basin Highlights Report—May 15, 2027</w:t>
      </w:r>
    </w:p>
    <w:p w14:paraId="4F4165CD"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Post Report to webpage—June 30, 2027</w:t>
      </w:r>
    </w:p>
    <w:p w14:paraId="4E1AAA64" w14:textId="77777777" w:rsidR="00984212" w:rsidRPr="00F26E99" w:rsidRDefault="00984212" w:rsidP="00984212">
      <w:pPr>
        <w:pStyle w:val="BodyText"/>
      </w:pPr>
      <w:bookmarkStart w:id="8" w:name="TASK_6:__STAKEHOLDER_PARTICIPATION_AND_P"/>
      <w:bookmarkEnd w:id="8"/>
      <w:r w:rsidRPr="00F26E99">
        <w:br w:type="page"/>
      </w:r>
    </w:p>
    <w:p w14:paraId="7007929F" w14:textId="77777777" w:rsidR="00984212" w:rsidRPr="00E05CBF" w:rsidRDefault="00984212" w:rsidP="00984212">
      <w:pPr>
        <w:pStyle w:val="ExhibitHead1"/>
        <w:rPr>
          <w:sz w:val="22"/>
          <w:szCs w:val="22"/>
        </w:rPr>
      </w:pPr>
      <w:r w:rsidRPr="00E05CBF">
        <w:rPr>
          <w:sz w:val="22"/>
          <w:szCs w:val="22"/>
        </w:rPr>
        <w:lastRenderedPageBreak/>
        <w:t>Task 6: Stakeholder Participation and Public Outreach</w:t>
      </w:r>
    </w:p>
    <w:p w14:paraId="6D90C4DC" w14:textId="77777777" w:rsidR="00984212" w:rsidRPr="00AB3931" w:rsidRDefault="00984212" w:rsidP="00984212">
      <w:pPr>
        <w:pStyle w:val="BodyText"/>
        <w:rPr>
          <w:sz w:val="22"/>
          <w:szCs w:val="22"/>
        </w:rPr>
      </w:pPr>
      <w:r w:rsidRPr="00AB3931">
        <w:rPr>
          <w:b/>
          <w:sz w:val="22"/>
          <w:szCs w:val="22"/>
        </w:rPr>
        <w:t xml:space="preserve">Objectives: </w:t>
      </w:r>
      <w:r w:rsidRPr="00AB3931">
        <w:rPr>
          <w:sz w:val="22"/>
          <w:szCs w:val="22"/>
        </w:rPr>
        <w:t>Enhance and support participation of stakeholders in the development of water quality objectives and priorities for the basin, and CRP as a whole. Engage in education and outreach activities to enhance stakeholder knowledge and involvement.</w:t>
      </w:r>
    </w:p>
    <w:p w14:paraId="65DD29B9" w14:textId="77777777" w:rsidR="00984212" w:rsidRPr="00AB3931" w:rsidRDefault="00984212" w:rsidP="00984212">
      <w:pPr>
        <w:pStyle w:val="BodyTextBeforeList"/>
        <w:rPr>
          <w:szCs w:val="22"/>
        </w:rPr>
      </w:pPr>
      <w:r w:rsidRPr="00AB3931">
        <w:rPr>
          <w:szCs w:val="22"/>
        </w:rPr>
        <w:t>The Steering Committee serves as the focus of public input and assists with:</w:t>
      </w:r>
    </w:p>
    <w:p w14:paraId="70969D82" w14:textId="77777777" w:rsidR="00984212" w:rsidRPr="00AB3931" w:rsidRDefault="00984212" w:rsidP="00984212">
      <w:pPr>
        <w:pStyle w:val="ListBullet"/>
        <w:spacing w:after="80" w:line="264" w:lineRule="auto"/>
        <w:rPr>
          <w:sz w:val="22"/>
          <w:szCs w:val="22"/>
        </w:rPr>
      </w:pPr>
      <w:r w:rsidRPr="00AB3931">
        <w:rPr>
          <w:sz w:val="22"/>
          <w:szCs w:val="22"/>
        </w:rPr>
        <w:t>Creation of specific, achievable water quality objectives and basin priorities.</w:t>
      </w:r>
    </w:p>
    <w:p w14:paraId="5D25755E" w14:textId="77777777" w:rsidR="00984212" w:rsidRPr="00AB3931" w:rsidRDefault="00984212" w:rsidP="00984212">
      <w:pPr>
        <w:pStyle w:val="ListBullet"/>
        <w:spacing w:after="80" w:line="264" w:lineRule="auto"/>
        <w:rPr>
          <w:sz w:val="22"/>
          <w:szCs w:val="22"/>
        </w:rPr>
      </w:pPr>
      <w:r w:rsidRPr="00AB3931">
        <w:rPr>
          <w:sz w:val="22"/>
          <w:szCs w:val="22"/>
        </w:rPr>
        <w:t>Review and development of work plans and allocation of resources.</w:t>
      </w:r>
    </w:p>
    <w:p w14:paraId="01147BC8" w14:textId="77777777" w:rsidR="00984212" w:rsidRPr="00AB3931" w:rsidRDefault="00984212" w:rsidP="00984212">
      <w:pPr>
        <w:pStyle w:val="ListBullet"/>
        <w:spacing w:after="80" w:line="264" w:lineRule="auto"/>
        <w:rPr>
          <w:sz w:val="22"/>
          <w:szCs w:val="22"/>
        </w:rPr>
      </w:pPr>
      <w:r w:rsidRPr="00AB3931">
        <w:rPr>
          <w:sz w:val="22"/>
          <w:szCs w:val="22"/>
        </w:rPr>
        <w:t>Review, development, and approval of major reports.</w:t>
      </w:r>
    </w:p>
    <w:p w14:paraId="09DD58F6" w14:textId="77777777" w:rsidR="00984212" w:rsidRPr="00AB3931" w:rsidRDefault="00984212" w:rsidP="00984212">
      <w:pPr>
        <w:pStyle w:val="ListBullet"/>
        <w:spacing w:after="80" w:line="264" w:lineRule="auto"/>
        <w:rPr>
          <w:sz w:val="22"/>
          <w:szCs w:val="22"/>
        </w:rPr>
      </w:pPr>
      <w:r w:rsidRPr="00AB3931">
        <w:rPr>
          <w:sz w:val="22"/>
          <w:szCs w:val="22"/>
        </w:rPr>
        <w:t>Establishment of monitoring priorities and development of monitoring plans.</w:t>
      </w:r>
    </w:p>
    <w:p w14:paraId="0BAA9CC7" w14:textId="77777777" w:rsidR="00984212" w:rsidRPr="00AB3931" w:rsidRDefault="00984212" w:rsidP="00984212">
      <w:pPr>
        <w:pStyle w:val="ListBullet"/>
        <w:spacing w:after="80" w:line="264" w:lineRule="auto"/>
        <w:rPr>
          <w:sz w:val="22"/>
          <w:szCs w:val="22"/>
        </w:rPr>
      </w:pPr>
      <w:r w:rsidRPr="00AB3931">
        <w:rPr>
          <w:sz w:val="22"/>
          <w:szCs w:val="22"/>
        </w:rPr>
        <w:t>Identification of priority problem areas and possible actions to address these problems and pollutant sources.</w:t>
      </w:r>
    </w:p>
    <w:p w14:paraId="2B4D413E" w14:textId="77777777" w:rsidR="00984212" w:rsidRPr="00AB3931" w:rsidRDefault="00984212" w:rsidP="00984212">
      <w:pPr>
        <w:pStyle w:val="BodyTextBetweenLists"/>
        <w:rPr>
          <w:szCs w:val="22"/>
        </w:rPr>
      </w:pPr>
      <w:r w:rsidRPr="00AB3931">
        <w:rPr>
          <w:szCs w:val="22"/>
        </w:rPr>
        <w:t>Stakeholders should be engaged through outreach and education activities that support the CRP goals. This can be accomplished by:</w:t>
      </w:r>
    </w:p>
    <w:p w14:paraId="4DCCB988" w14:textId="77777777" w:rsidR="00984212" w:rsidRPr="00AB3931" w:rsidRDefault="00984212" w:rsidP="00984212">
      <w:pPr>
        <w:pStyle w:val="ListBullet"/>
        <w:spacing w:after="80" w:line="264" w:lineRule="auto"/>
        <w:rPr>
          <w:sz w:val="22"/>
          <w:szCs w:val="22"/>
        </w:rPr>
      </w:pPr>
      <w:r w:rsidRPr="00AB3931">
        <w:rPr>
          <w:sz w:val="22"/>
          <w:szCs w:val="22"/>
        </w:rPr>
        <w:t>Providing several forums for citizens to contribute their ideas and concerns.</w:t>
      </w:r>
    </w:p>
    <w:p w14:paraId="41F67BF9" w14:textId="77777777" w:rsidR="00984212" w:rsidRPr="00AB3931" w:rsidRDefault="00984212" w:rsidP="00984212">
      <w:pPr>
        <w:pStyle w:val="ListBullet"/>
        <w:spacing w:after="80" w:line="264" w:lineRule="auto"/>
        <w:rPr>
          <w:sz w:val="22"/>
          <w:szCs w:val="22"/>
        </w:rPr>
      </w:pPr>
      <w:r w:rsidRPr="00AB3931">
        <w:rPr>
          <w:sz w:val="22"/>
          <w:szCs w:val="22"/>
        </w:rPr>
        <w:t>Participating in outreach and education activities to increase public awareness about water quality issues in the basin.</w:t>
      </w:r>
    </w:p>
    <w:p w14:paraId="27FECE49" w14:textId="77777777" w:rsidR="00984212" w:rsidRPr="00AB3931" w:rsidRDefault="00984212" w:rsidP="00984212">
      <w:pPr>
        <w:pStyle w:val="ListBullet"/>
        <w:spacing w:after="80" w:line="264" w:lineRule="auto"/>
        <w:rPr>
          <w:sz w:val="22"/>
          <w:szCs w:val="22"/>
        </w:rPr>
      </w:pPr>
      <w:r w:rsidRPr="00AB3931">
        <w:rPr>
          <w:sz w:val="22"/>
          <w:szCs w:val="22"/>
        </w:rPr>
        <w:t>Communicating information on water quality issues so that priorities may be set considering local, regional, state, and federal needs.</w:t>
      </w:r>
    </w:p>
    <w:p w14:paraId="753C7D4A" w14:textId="77777777" w:rsidR="00984212" w:rsidRPr="00AB3931" w:rsidRDefault="00984212" w:rsidP="00984212">
      <w:pPr>
        <w:pStyle w:val="ListBullet"/>
        <w:spacing w:after="80" w:line="264" w:lineRule="auto"/>
        <w:rPr>
          <w:sz w:val="22"/>
          <w:szCs w:val="22"/>
        </w:rPr>
      </w:pPr>
      <w:r w:rsidRPr="00AB3931">
        <w:rPr>
          <w:sz w:val="22"/>
          <w:szCs w:val="22"/>
        </w:rPr>
        <w:t>Providing opportunities for volunteer citizen monitoring of basin water bodies.</w:t>
      </w:r>
    </w:p>
    <w:p w14:paraId="2C9F779F" w14:textId="330C596B" w:rsidR="00984212" w:rsidRPr="00AB3931" w:rsidRDefault="00984212" w:rsidP="00AA5C91">
      <w:pPr>
        <w:pStyle w:val="BodyTextafterTableorList"/>
        <w:spacing w:line="240" w:lineRule="auto"/>
      </w:pPr>
      <w:r w:rsidRPr="00AB3931">
        <w:rPr>
          <w:rStyle w:val="Strong"/>
        </w:rPr>
        <w:t>Task Description:</w:t>
      </w:r>
      <w:r w:rsidRPr="00AB3931">
        <w:t xml:space="preserve"> </w:t>
      </w:r>
      <w:r w:rsidR="00357334" w:rsidRPr="00021359">
        <w:t xml:space="preserve">Stakeholder participation and public outreach is an important opportunity for the stakeholders, interested citizens, and fee payers to become involved in the development of the </w:t>
      </w:r>
      <w:r w:rsidR="00357334" w:rsidRPr="00D90799">
        <w:t>Cypress Creek Basin</w:t>
      </w:r>
      <w:r w:rsidR="00357334" w:rsidRPr="00021359">
        <w:t xml:space="preserve"> Clean Rivers Program.</w:t>
      </w:r>
      <w:r w:rsidR="00357334">
        <w:t xml:space="preserve"> </w:t>
      </w:r>
      <w:r w:rsidR="00357334" w:rsidRPr="00E43EEF">
        <w:t>To ensure a comprehensive watershed assessment program, the Performing Party will provide opportunities for stakeholder involvement through both the Steering Committee process, and other public participation, outreach, and education activities following the FY 202</w:t>
      </w:r>
      <w:r w:rsidR="00357334">
        <w:t>6</w:t>
      </w:r>
      <w:r w:rsidR="00357334" w:rsidRPr="00E43EEF">
        <w:t>-202</w:t>
      </w:r>
      <w:r w:rsidR="00357334">
        <w:t>7</w:t>
      </w:r>
      <w:r w:rsidR="00357334" w:rsidRPr="00E43EEF">
        <w:t xml:space="preserve"> CRP Guidance.</w:t>
      </w:r>
    </w:p>
    <w:p w14:paraId="7CBCCC6D" w14:textId="77777777" w:rsidR="00984212" w:rsidRPr="00AB3931" w:rsidRDefault="00984212" w:rsidP="00984212">
      <w:pPr>
        <w:pStyle w:val="BodyTextBeforeList"/>
        <w:rPr>
          <w:szCs w:val="22"/>
        </w:rPr>
      </w:pPr>
      <w:r w:rsidRPr="00AB3931">
        <w:rPr>
          <w:szCs w:val="22"/>
        </w:rPr>
        <w:t>The Performing Party will complete the following subtasks:</w:t>
      </w:r>
    </w:p>
    <w:p w14:paraId="71FB5E3E" w14:textId="77777777" w:rsidR="00984212" w:rsidRPr="00AB3931" w:rsidRDefault="00984212" w:rsidP="00984212">
      <w:pPr>
        <w:pStyle w:val="BodyText"/>
        <w:rPr>
          <w:sz w:val="22"/>
          <w:szCs w:val="22"/>
        </w:rPr>
      </w:pPr>
      <w:r w:rsidRPr="00AB3931">
        <w:rPr>
          <w:b/>
          <w:sz w:val="22"/>
          <w:szCs w:val="22"/>
        </w:rPr>
        <w:t>Steering Committee and Meetings—</w:t>
      </w:r>
      <w:r w:rsidRPr="00AB3931">
        <w:rPr>
          <w:sz w:val="22"/>
          <w:szCs w:val="22"/>
        </w:rPr>
        <w:t>To sufficiently address the different interests, concerns and priorities of each watershed, the Performing Party will work to ensure that its Steering Committee includes stakeholder volunteers from across the basin that represent the groups identified in the FY2026-2027 CRP Guidance. If specified groups are not represented, efforts will be made to recruit representatives before the next scheduled meeting. To engage new members and increase participation, the Performing Party will take every opportunity to promote the CRP and involvement in the Steering Committee.</w:t>
      </w:r>
    </w:p>
    <w:p w14:paraId="535B590C" w14:textId="74AACBEE" w:rsidR="00984212" w:rsidRPr="00AB3931" w:rsidRDefault="00984212" w:rsidP="00984212">
      <w:pPr>
        <w:pStyle w:val="BodyText"/>
        <w:rPr>
          <w:sz w:val="22"/>
          <w:szCs w:val="22"/>
        </w:rPr>
      </w:pPr>
      <w:r w:rsidRPr="00AB3931">
        <w:rPr>
          <w:sz w:val="22"/>
          <w:szCs w:val="22"/>
        </w:rPr>
        <w:t>To meet the goals and coordination requirements of the FY2026-2027 CRP Guidance, the Performing Party will conduct a minimum of</w:t>
      </w:r>
      <w:r w:rsidR="00357334">
        <w:rPr>
          <w:sz w:val="22"/>
          <w:szCs w:val="22"/>
        </w:rPr>
        <w:t xml:space="preserve"> one</w:t>
      </w:r>
      <w:r w:rsidRPr="00AB3931">
        <w:rPr>
          <w:color w:val="4F81BD" w:themeColor="accent1"/>
          <w:sz w:val="22"/>
          <w:szCs w:val="22"/>
        </w:rPr>
        <w:t xml:space="preserve"> </w:t>
      </w:r>
      <w:r w:rsidR="004F5BF5">
        <w:rPr>
          <w:color w:val="4F81BD" w:themeColor="accent1"/>
          <w:sz w:val="22"/>
          <w:szCs w:val="22"/>
        </w:rPr>
        <w:t xml:space="preserve">(1) </w:t>
      </w:r>
      <w:r w:rsidRPr="00AB3931">
        <w:rPr>
          <w:sz w:val="22"/>
          <w:szCs w:val="22"/>
        </w:rPr>
        <w:t>Steering Committee meeting</w:t>
      </w:r>
      <w:r w:rsidR="006C55DE">
        <w:rPr>
          <w:sz w:val="22"/>
          <w:szCs w:val="22"/>
        </w:rPr>
        <w:t xml:space="preserve"> per year</w:t>
      </w:r>
      <w:r w:rsidRPr="00AB3931">
        <w:rPr>
          <w:sz w:val="22"/>
          <w:szCs w:val="22"/>
        </w:rPr>
        <w:t xml:space="preserve"> during the month(s) of</w:t>
      </w:r>
      <w:r w:rsidR="00357334">
        <w:rPr>
          <w:sz w:val="22"/>
          <w:szCs w:val="22"/>
        </w:rPr>
        <w:t xml:space="preserve"> March or April</w:t>
      </w:r>
      <w:r w:rsidRPr="00AB3931">
        <w:rPr>
          <w:sz w:val="22"/>
          <w:szCs w:val="22"/>
        </w:rPr>
        <w:t xml:space="preserve">. Additional sub-committees or other public meetings may also be convened to help complete the requirements. </w:t>
      </w:r>
      <w:bookmarkStart w:id="9" w:name="_Hlk53656135"/>
      <w:r w:rsidRPr="00AB3931">
        <w:rPr>
          <w:sz w:val="22"/>
          <w:szCs w:val="22"/>
        </w:rPr>
        <w:t xml:space="preserve">All </w:t>
      </w:r>
      <w:r w:rsidRPr="00AB3931">
        <w:rPr>
          <w:sz w:val="22"/>
          <w:szCs w:val="22"/>
        </w:rPr>
        <w:lastRenderedPageBreak/>
        <w:t>requirements related to meetings will be followed and required public meetings will be conducted in-person or via TCEQ-approved virtual formats.</w:t>
      </w:r>
      <w:bookmarkEnd w:id="9"/>
    </w:p>
    <w:p w14:paraId="72740A2E" w14:textId="77777777" w:rsidR="00984212" w:rsidRPr="00AB3931" w:rsidRDefault="00984212" w:rsidP="00984212">
      <w:pPr>
        <w:pStyle w:val="BodyText"/>
        <w:rPr>
          <w:sz w:val="22"/>
          <w:szCs w:val="22"/>
        </w:rPr>
      </w:pPr>
      <w:r w:rsidRPr="00AB3931">
        <w:rPr>
          <w:sz w:val="22"/>
          <w:szCs w:val="22"/>
        </w:rPr>
        <w:t>The Performing Party will contact stakeholders at least 45 days in advance of meeting date(s) to encourage participation. A questionnaire will be sent to all interested stakeholders that will provide a list of proposed agenda topics, request confirmation of continued interest and participation in the Steering Committee, and request input on additional topics and potential stakeholders. Along with the priority agenda topics identified in the CRP Guidance, Steering Committee meetings will include additional topics of significant interest to stakeholders. A final meeting announcement and agenda will be made available at least 15 days prior to the meeting.</w:t>
      </w:r>
    </w:p>
    <w:p w14:paraId="68B78B55" w14:textId="77777777" w:rsidR="00984212" w:rsidRPr="00AB3931" w:rsidRDefault="00984212" w:rsidP="00984212">
      <w:pPr>
        <w:pStyle w:val="BodyText"/>
        <w:rPr>
          <w:sz w:val="22"/>
          <w:szCs w:val="22"/>
        </w:rPr>
      </w:pPr>
      <w:r w:rsidRPr="00AB3931">
        <w:rPr>
          <w:sz w:val="22"/>
          <w:szCs w:val="22"/>
        </w:rPr>
        <w:t>After each Steering Committee meeting, the Performing Party will ensure all stakeholder input, comments, decisions, and any other meeting decisions are addressed, where applicable. For all Steering Committee meetings, copies of meeting materials will be provided with the next progress report, and include: a copy of the meeting agenda, presentations, meeting minutes, and a list of attendees. Steering Committee meeting minutes will also be posted to the Performing Party’s website and the posting of the meeting minutes will be documented in the progress report following the meeting.</w:t>
      </w:r>
    </w:p>
    <w:p w14:paraId="64692933" w14:textId="575E6A7D" w:rsidR="00984212" w:rsidRPr="00AB3931" w:rsidRDefault="00984212" w:rsidP="00984212">
      <w:pPr>
        <w:pStyle w:val="BodyText"/>
        <w:rPr>
          <w:sz w:val="22"/>
          <w:szCs w:val="22"/>
        </w:rPr>
      </w:pPr>
      <w:r w:rsidRPr="00AB3931">
        <w:rPr>
          <w:rStyle w:val="Strong"/>
          <w:sz w:val="22"/>
          <w:szCs w:val="22"/>
        </w:rPr>
        <w:t>Education and Outreach—</w:t>
      </w:r>
      <w:r w:rsidRPr="00AB3931">
        <w:rPr>
          <w:sz w:val="22"/>
          <w:szCs w:val="22"/>
        </w:rPr>
        <w:t>The Performing Party will conduct a minimum of</w:t>
      </w:r>
      <w:r w:rsidR="00357334">
        <w:rPr>
          <w:sz w:val="22"/>
          <w:szCs w:val="22"/>
        </w:rPr>
        <w:t xml:space="preserve"> one</w:t>
      </w:r>
      <w:r w:rsidRPr="00AB3931">
        <w:rPr>
          <w:color w:val="4F81BD" w:themeColor="accent1"/>
          <w:sz w:val="22"/>
          <w:szCs w:val="22"/>
        </w:rPr>
        <w:t xml:space="preserve"> </w:t>
      </w:r>
      <w:r w:rsidR="004F5BF5">
        <w:rPr>
          <w:color w:val="4F81BD" w:themeColor="accent1"/>
          <w:sz w:val="22"/>
          <w:szCs w:val="22"/>
        </w:rPr>
        <w:t xml:space="preserve">(1) </w:t>
      </w:r>
      <w:r w:rsidRPr="00AB3931">
        <w:rPr>
          <w:sz w:val="22"/>
          <w:szCs w:val="22"/>
        </w:rPr>
        <w:t>public participation, outreach, or volunteer monitoring activit</w:t>
      </w:r>
      <w:r w:rsidR="006C55DE">
        <w:rPr>
          <w:sz w:val="22"/>
          <w:szCs w:val="22"/>
        </w:rPr>
        <w:t>y</w:t>
      </w:r>
      <w:r w:rsidRPr="00AB3931">
        <w:rPr>
          <w:sz w:val="22"/>
          <w:szCs w:val="22"/>
        </w:rPr>
        <w:t>. For any public participation, outreach, or volunteer monitoring activities, a copy of the summary of activities, materials produced or distributed by the Performing Party, representative photograph(s) of the event (if taken), and a list of participants will be included in the subsequent progress report.</w:t>
      </w:r>
    </w:p>
    <w:p w14:paraId="0D2AFDEB" w14:textId="1AC6DD8F" w:rsidR="00984212" w:rsidRPr="00AE368A" w:rsidRDefault="00984212" w:rsidP="00984212">
      <w:pPr>
        <w:pStyle w:val="BodyText"/>
        <w:rPr>
          <w:sz w:val="22"/>
          <w:szCs w:val="22"/>
        </w:rPr>
      </w:pPr>
      <w:r w:rsidRPr="00AB3931">
        <w:rPr>
          <w:sz w:val="22"/>
          <w:szCs w:val="22"/>
        </w:rPr>
        <w:t>The Performing Party will develop, maintain, update, and report on their webpage as specified in the FY2026-2027 CRP Guidance. The webpage will be reviewed on a quarterly basis to ensure that information and announcements remain current and relevant. The Performing Party will also include summaries of revisions to the webpage in the corresponding quarterly progress report.</w:t>
      </w:r>
    </w:p>
    <w:p w14:paraId="455BDCEA" w14:textId="77777777" w:rsidR="00984212" w:rsidRPr="00AB3931" w:rsidRDefault="00984212" w:rsidP="00AE368A">
      <w:pPr>
        <w:pStyle w:val="BodyText"/>
        <w:spacing w:before="240" w:after="240"/>
        <w:rPr>
          <w:sz w:val="22"/>
          <w:szCs w:val="28"/>
        </w:rPr>
      </w:pPr>
      <w:r w:rsidRPr="00AB3931">
        <w:rPr>
          <w:sz w:val="22"/>
          <w:szCs w:val="28"/>
        </w:rPr>
        <w:t>Deliverables and Due Dates:</w:t>
      </w:r>
    </w:p>
    <w:p w14:paraId="7036CDDA" w14:textId="77777777" w:rsidR="00984212" w:rsidRPr="00BB1784" w:rsidRDefault="00984212" w:rsidP="00984212">
      <w:pPr>
        <w:pStyle w:val="BodyTextBeforeList"/>
        <w:rPr>
          <w:rStyle w:val="Emphasis"/>
          <w:szCs w:val="22"/>
        </w:rPr>
      </w:pPr>
      <w:r w:rsidRPr="00BB1784">
        <w:rPr>
          <w:rStyle w:val="Emphasis"/>
          <w:szCs w:val="22"/>
        </w:rPr>
        <w:t>September 1, 2025 through August 31, 2026</w:t>
      </w:r>
    </w:p>
    <w:p w14:paraId="01842407" w14:textId="77777777" w:rsidR="00984212" w:rsidRPr="00BB1784" w:rsidRDefault="00984212" w:rsidP="00984212">
      <w:pPr>
        <w:pStyle w:val="ListLetterSmall"/>
        <w:numPr>
          <w:ilvl w:val="0"/>
          <w:numId w:val="29"/>
        </w:numPr>
        <w:rPr>
          <w:rFonts w:ascii="Lucida Bright" w:hAnsi="Lucida Bright"/>
          <w:sz w:val="22"/>
        </w:rPr>
      </w:pPr>
      <w:r w:rsidRPr="00BB1784">
        <w:rPr>
          <w:rFonts w:ascii="Lucida Bright" w:hAnsi="Lucida Bright"/>
          <w:sz w:val="22"/>
        </w:rPr>
        <w:t>Document in progress report that webpage meets outlined requirements—December 15, 2025</w:t>
      </w:r>
    </w:p>
    <w:p w14:paraId="4566CF86"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Summarize webpage updates and submit with quarterly progress report—December 15, 2025; March 15 and June 15, 2026</w:t>
      </w:r>
    </w:p>
    <w:p w14:paraId="14341D41"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Contact Steering Committee members with questionnaire, draft agenda topics and</w:t>
      </w:r>
      <w:r w:rsidRPr="00BB1784">
        <w:rPr>
          <w:rFonts w:ascii="Lucida Bright" w:hAnsi="Lucida Bright"/>
          <w:spacing w:val="-35"/>
          <w:sz w:val="22"/>
        </w:rPr>
        <w:t xml:space="preserve"> </w:t>
      </w:r>
      <w:r w:rsidRPr="00BB1784">
        <w:rPr>
          <w:rFonts w:ascii="Lucida Bright" w:hAnsi="Lucida Bright"/>
          <w:sz w:val="22"/>
        </w:rPr>
        <w:t>confirm participation—a minimum of 45 days prior to Steering Committee meeting date</w:t>
      </w:r>
    </w:p>
    <w:p w14:paraId="2E52EFD3"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Final announcements and agenda for Steering Committee meetings—a minimum</w:t>
      </w:r>
      <w:r w:rsidRPr="00BB1784">
        <w:rPr>
          <w:rFonts w:ascii="Lucida Bright" w:hAnsi="Lucida Bright"/>
          <w:spacing w:val="-32"/>
          <w:sz w:val="22"/>
        </w:rPr>
        <w:t xml:space="preserve"> </w:t>
      </w:r>
      <w:r w:rsidRPr="00BB1784">
        <w:rPr>
          <w:rFonts w:ascii="Lucida Bright" w:hAnsi="Lucida Bright"/>
          <w:sz w:val="22"/>
        </w:rPr>
        <w:t>of 15 days in advance of</w:t>
      </w:r>
      <w:r w:rsidRPr="00BB1784">
        <w:rPr>
          <w:rFonts w:ascii="Lucida Bright" w:hAnsi="Lucida Bright"/>
          <w:spacing w:val="-5"/>
          <w:sz w:val="22"/>
        </w:rPr>
        <w:t xml:space="preserve"> </w:t>
      </w:r>
      <w:r w:rsidRPr="00BB1784">
        <w:rPr>
          <w:rFonts w:ascii="Lucida Bright" w:hAnsi="Lucida Bright"/>
          <w:sz w:val="22"/>
        </w:rPr>
        <w:t>meeting</w:t>
      </w:r>
    </w:p>
    <w:p w14:paraId="3EC747BF"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Steering Committee meeting—number of meetings held, and dates as negotiated with TCEQ project manager</w:t>
      </w:r>
    </w:p>
    <w:p w14:paraId="7E1838E8"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Steering Committee meeting materials—with progress report following meeting</w:t>
      </w:r>
    </w:p>
    <w:p w14:paraId="024C2A46"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lastRenderedPageBreak/>
        <w:t>Steering Committee meeting minutes posted to the webpage—indicate in progress report following</w:t>
      </w:r>
      <w:r w:rsidRPr="00BB1784">
        <w:rPr>
          <w:rFonts w:ascii="Lucida Bright" w:hAnsi="Lucida Bright"/>
          <w:spacing w:val="-11"/>
          <w:sz w:val="22"/>
        </w:rPr>
        <w:t xml:space="preserve"> </w:t>
      </w:r>
      <w:r w:rsidRPr="00BB1784">
        <w:rPr>
          <w:rFonts w:ascii="Lucida Bright" w:hAnsi="Lucida Bright"/>
          <w:sz w:val="22"/>
        </w:rPr>
        <w:t>meeting</w:t>
      </w:r>
    </w:p>
    <w:p w14:paraId="3EFE7B00"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Materials from education and outreach activities and number of events included with quarterly progress report—December 15, 2025; March 15 and June 15,</w:t>
      </w:r>
      <w:r w:rsidRPr="00BB1784">
        <w:rPr>
          <w:rFonts w:ascii="Lucida Bright" w:hAnsi="Lucida Bright"/>
          <w:spacing w:val="-7"/>
          <w:sz w:val="22"/>
        </w:rPr>
        <w:t xml:space="preserve"> </w:t>
      </w:r>
      <w:r w:rsidRPr="00BB1784">
        <w:rPr>
          <w:rFonts w:ascii="Lucida Bright" w:hAnsi="Lucida Bright"/>
          <w:sz w:val="22"/>
        </w:rPr>
        <w:t>2026</w:t>
      </w:r>
    </w:p>
    <w:p w14:paraId="43C171FD" w14:textId="77777777" w:rsidR="00984212" w:rsidRPr="00BB1784" w:rsidRDefault="00984212" w:rsidP="00984212">
      <w:pPr>
        <w:pStyle w:val="BodyTextBetweenLists"/>
        <w:rPr>
          <w:rStyle w:val="Emphasis"/>
          <w:szCs w:val="22"/>
        </w:rPr>
      </w:pPr>
      <w:r w:rsidRPr="00BB1784">
        <w:rPr>
          <w:rStyle w:val="Emphasis"/>
          <w:szCs w:val="22"/>
        </w:rPr>
        <w:t>September 1, 2026 through August 31, 2027</w:t>
      </w:r>
    </w:p>
    <w:p w14:paraId="6F3ED039" w14:textId="77777777" w:rsidR="00984212" w:rsidRPr="00BB1784" w:rsidRDefault="00984212" w:rsidP="00984212">
      <w:pPr>
        <w:pStyle w:val="ListLetterSmall"/>
        <w:numPr>
          <w:ilvl w:val="0"/>
          <w:numId w:val="30"/>
        </w:numPr>
        <w:rPr>
          <w:rFonts w:ascii="Lucida Bright" w:hAnsi="Lucida Bright"/>
          <w:sz w:val="22"/>
        </w:rPr>
      </w:pPr>
      <w:r w:rsidRPr="00BB1784">
        <w:rPr>
          <w:rFonts w:ascii="Lucida Bright" w:hAnsi="Lucida Bright"/>
          <w:sz w:val="22"/>
        </w:rPr>
        <w:t>Summarize webpage updates and submit with quarterly progress report—September 15 and December 15, 2026; March 15, June 15, and August 15, 2027</w:t>
      </w:r>
    </w:p>
    <w:p w14:paraId="57C70853" w14:textId="77777777" w:rsidR="00984212" w:rsidRPr="00BB1784" w:rsidRDefault="00984212" w:rsidP="00984212">
      <w:pPr>
        <w:pStyle w:val="ListLetterSmall"/>
        <w:rPr>
          <w:rFonts w:ascii="Lucida Bright" w:hAnsi="Lucida Bright"/>
          <w:i/>
          <w:sz w:val="22"/>
        </w:rPr>
      </w:pPr>
      <w:r w:rsidRPr="00BB1784">
        <w:rPr>
          <w:rFonts w:ascii="Lucida Bright" w:hAnsi="Lucida Bright"/>
          <w:sz w:val="22"/>
        </w:rPr>
        <w:t>Contact Steering Committee members with questionnaire, draft agenda topics and confirm participation—a minimum of 45 days prior to Steering Committee meeting date</w:t>
      </w:r>
    </w:p>
    <w:p w14:paraId="09974E78" w14:textId="77777777" w:rsidR="00984212" w:rsidRPr="00BB1784" w:rsidRDefault="00984212" w:rsidP="00984212">
      <w:pPr>
        <w:pStyle w:val="ListLetterSmall"/>
        <w:rPr>
          <w:rFonts w:ascii="Lucida Bright" w:hAnsi="Lucida Bright"/>
          <w:i/>
          <w:sz w:val="22"/>
        </w:rPr>
      </w:pPr>
      <w:r w:rsidRPr="00BB1784">
        <w:rPr>
          <w:rFonts w:ascii="Lucida Bright" w:hAnsi="Lucida Bright"/>
          <w:sz w:val="22"/>
        </w:rPr>
        <w:t>Final announcements and agenda for Steering Committee meetings—a minimum</w:t>
      </w:r>
      <w:r w:rsidRPr="00BB1784">
        <w:rPr>
          <w:rFonts w:ascii="Lucida Bright" w:hAnsi="Lucida Bright"/>
          <w:spacing w:val="-33"/>
          <w:sz w:val="22"/>
        </w:rPr>
        <w:t xml:space="preserve"> </w:t>
      </w:r>
      <w:r w:rsidRPr="00BB1784">
        <w:rPr>
          <w:rFonts w:ascii="Lucida Bright" w:hAnsi="Lucida Bright"/>
          <w:sz w:val="22"/>
        </w:rPr>
        <w:t>of 15 days in advance of</w:t>
      </w:r>
      <w:r w:rsidRPr="00BB1784">
        <w:rPr>
          <w:rFonts w:ascii="Lucida Bright" w:hAnsi="Lucida Bright"/>
          <w:spacing w:val="-5"/>
          <w:sz w:val="22"/>
        </w:rPr>
        <w:t xml:space="preserve"> </w:t>
      </w:r>
      <w:r w:rsidRPr="00BB1784">
        <w:rPr>
          <w:rFonts w:ascii="Lucida Bright" w:hAnsi="Lucida Bright"/>
          <w:sz w:val="22"/>
        </w:rPr>
        <w:t>meeting</w:t>
      </w:r>
    </w:p>
    <w:p w14:paraId="0CA9FDCE" w14:textId="77777777" w:rsidR="00984212" w:rsidRPr="00BB1784" w:rsidRDefault="00984212" w:rsidP="00984212">
      <w:pPr>
        <w:pStyle w:val="ListLetterSmall"/>
        <w:rPr>
          <w:rFonts w:ascii="Lucida Bright" w:hAnsi="Lucida Bright"/>
          <w:sz w:val="22"/>
        </w:rPr>
      </w:pPr>
      <w:r w:rsidRPr="00BB1784">
        <w:rPr>
          <w:rFonts w:ascii="Lucida Bright" w:hAnsi="Lucida Bright"/>
          <w:sz w:val="22"/>
        </w:rPr>
        <w:t>Steering Committee meeting—number of meetings held, and dates as negotiated with the TCEQ CRP project manager</w:t>
      </w:r>
    </w:p>
    <w:p w14:paraId="707A81C1" w14:textId="77777777" w:rsidR="00984212" w:rsidRPr="00BB1784" w:rsidRDefault="00984212" w:rsidP="00984212">
      <w:pPr>
        <w:pStyle w:val="ListLetterSmall"/>
        <w:rPr>
          <w:rFonts w:ascii="Lucida Bright" w:hAnsi="Lucida Bright"/>
          <w:i/>
          <w:iCs/>
          <w:sz w:val="22"/>
        </w:rPr>
      </w:pPr>
      <w:r w:rsidRPr="00BB1784">
        <w:rPr>
          <w:rFonts w:ascii="Lucida Bright" w:hAnsi="Lucida Bright"/>
          <w:sz w:val="22"/>
        </w:rPr>
        <w:t>Steering Committee meeting materials—with progress report following meeting</w:t>
      </w:r>
    </w:p>
    <w:p w14:paraId="26D0B29D" w14:textId="77777777" w:rsidR="00984212" w:rsidRPr="00BB1784" w:rsidRDefault="00984212" w:rsidP="00984212">
      <w:pPr>
        <w:pStyle w:val="ListLetterSmall"/>
        <w:rPr>
          <w:rFonts w:ascii="Lucida Bright" w:hAnsi="Lucida Bright"/>
          <w:i/>
          <w:iCs/>
          <w:sz w:val="22"/>
        </w:rPr>
      </w:pPr>
      <w:r w:rsidRPr="00BB1784">
        <w:rPr>
          <w:rFonts w:ascii="Lucida Bright" w:hAnsi="Lucida Bright"/>
          <w:sz w:val="22"/>
        </w:rPr>
        <w:t>Steering Committee meeting minutes posted to the webpage—indicate in progress report following</w:t>
      </w:r>
      <w:r w:rsidRPr="00BB1784">
        <w:rPr>
          <w:rFonts w:ascii="Lucida Bright" w:hAnsi="Lucida Bright"/>
          <w:spacing w:val="-8"/>
          <w:sz w:val="22"/>
        </w:rPr>
        <w:t xml:space="preserve"> </w:t>
      </w:r>
      <w:r w:rsidRPr="00BB1784">
        <w:rPr>
          <w:rFonts w:ascii="Lucida Bright" w:hAnsi="Lucida Bright"/>
          <w:sz w:val="22"/>
        </w:rPr>
        <w:t>meeting</w:t>
      </w:r>
    </w:p>
    <w:p w14:paraId="377B159A" w14:textId="0761A85F" w:rsidR="00984212" w:rsidRPr="00357334" w:rsidRDefault="00984212" w:rsidP="00AF3FE7">
      <w:pPr>
        <w:pStyle w:val="ListLetterSmall"/>
        <w:rPr>
          <w:sz w:val="22"/>
        </w:rPr>
      </w:pPr>
      <w:r w:rsidRPr="00357334">
        <w:rPr>
          <w:rFonts w:ascii="Lucida Bright" w:hAnsi="Lucida Bright"/>
          <w:sz w:val="22"/>
        </w:rPr>
        <w:t>Materials from education and outreach activities and number of events included with quarterly progress report—September 15 and December 15, 2026; March 15, June 15, and August 15, 2027</w:t>
      </w:r>
      <w:bookmarkStart w:id="10" w:name="TASK_7:__SPECIAL_PROJECTS"/>
      <w:bookmarkEnd w:id="10"/>
    </w:p>
    <w:sectPr w:rsidR="00984212" w:rsidRPr="00357334" w:rsidSect="004A72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17E1" w14:textId="77777777" w:rsidR="00BB108F" w:rsidRDefault="00BB108F" w:rsidP="00E52C9A">
      <w:r>
        <w:separator/>
      </w:r>
    </w:p>
  </w:endnote>
  <w:endnote w:type="continuationSeparator" w:id="0">
    <w:p w14:paraId="09A4ED37" w14:textId="77777777" w:rsidR="00BB108F" w:rsidRDefault="00BB108F"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EB9F" w14:textId="77777777" w:rsidR="00BB108F" w:rsidRDefault="00BB108F" w:rsidP="00E52C9A">
      <w:r>
        <w:separator/>
      </w:r>
    </w:p>
  </w:footnote>
  <w:footnote w:type="continuationSeparator" w:id="0">
    <w:p w14:paraId="3E290EDE" w14:textId="77777777" w:rsidR="00BB108F" w:rsidRDefault="00BB108F" w:rsidP="00E52C9A">
      <w:r>
        <w:continuationSeparator/>
      </w:r>
    </w:p>
  </w:footnote>
  <w:footnote w:id="1">
    <w:p w14:paraId="5A346478" w14:textId="77777777" w:rsidR="00984212" w:rsidRPr="00617BB4" w:rsidRDefault="00984212" w:rsidP="00984212">
      <w:pPr>
        <w:pStyle w:val="FootnoteText"/>
        <w:rPr>
          <w:rFonts w:ascii="Verdana" w:hAnsi="Verdana"/>
          <w:sz w:val="19"/>
          <w:szCs w:val="19"/>
        </w:rPr>
      </w:pPr>
      <w:r w:rsidRPr="00617BB4">
        <w:rPr>
          <w:rStyle w:val="FootnoteNumber"/>
          <w:sz w:val="19"/>
          <w:szCs w:val="19"/>
        </w:rPr>
        <w:footnoteRef/>
      </w:r>
      <w:r w:rsidRPr="00617BB4">
        <w:rPr>
          <w:rFonts w:ascii="Verdana" w:hAnsi="Verdana"/>
          <w:sz w:val="19"/>
          <w:szCs w:val="19"/>
        </w:rPr>
        <w:t>. www80.tceq.texas.gov/SwqmisPublic/index.htm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930ACB"/>
    <w:multiLevelType w:val="hybridMultilevel"/>
    <w:tmpl w:val="9DA66F74"/>
    <w:lvl w:ilvl="0" w:tplc="CCF42F54">
      <w:numFmt w:val="bullet"/>
      <w:pStyle w:val="ListsinTables"/>
      <w:lvlText w:val="-"/>
      <w:lvlJc w:val="left"/>
      <w:pPr>
        <w:ind w:left="84" w:hanging="111"/>
      </w:pPr>
      <w:rPr>
        <w:rFonts w:ascii="Arial" w:eastAsia="Arial" w:hAnsi="Arial" w:cs="Arial" w:hint="default"/>
        <w:w w:val="96"/>
        <w:sz w:val="18"/>
        <w:szCs w:val="18"/>
        <w:lang w:val="en-US" w:eastAsia="en-US" w:bidi="en-US"/>
      </w:rPr>
    </w:lvl>
    <w:lvl w:ilvl="1" w:tplc="06F8AE74">
      <w:numFmt w:val="bullet"/>
      <w:lvlText w:val="•"/>
      <w:lvlJc w:val="left"/>
      <w:pPr>
        <w:ind w:left="1159" w:hanging="111"/>
      </w:pPr>
      <w:rPr>
        <w:rFonts w:hint="default"/>
        <w:lang w:val="en-US" w:eastAsia="en-US" w:bidi="en-US"/>
      </w:rPr>
    </w:lvl>
    <w:lvl w:ilvl="2" w:tplc="0B8447D6">
      <w:numFmt w:val="bullet"/>
      <w:lvlText w:val="•"/>
      <w:lvlJc w:val="left"/>
      <w:pPr>
        <w:ind w:left="2238" w:hanging="111"/>
      </w:pPr>
      <w:rPr>
        <w:rFonts w:hint="default"/>
        <w:lang w:val="en-US" w:eastAsia="en-US" w:bidi="en-US"/>
      </w:rPr>
    </w:lvl>
    <w:lvl w:ilvl="3" w:tplc="3550AC90">
      <w:numFmt w:val="bullet"/>
      <w:lvlText w:val="•"/>
      <w:lvlJc w:val="left"/>
      <w:pPr>
        <w:ind w:left="3318" w:hanging="111"/>
      </w:pPr>
      <w:rPr>
        <w:rFonts w:hint="default"/>
        <w:lang w:val="en-US" w:eastAsia="en-US" w:bidi="en-US"/>
      </w:rPr>
    </w:lvl>
    <w:lvl w:ilvl="4" w:tplc="B9B25F70">
      <w:numFmt w:val="bullet"/>
      <w:lvlText w:val="•"/>
      <w:lvlJc w:val="left"/>
      <w:pPr>
        <w:ind w:left="4397" w:hanging="111"/>
      </w:pPr>
      <w:rPr>
        <w:rFonts w:hint="default"/>
        <w:lang w:val="en-US" w:eastAsia="en-US" w:bidi="en-US"/>
      </w:rPr>
    </w:lvl>
    <w:lvl w:ilvl="5" w:tplc="DEE24916">
      <w:numFmt w:val="bullet"/>
      <w:lvlText w:val="•"/>
      <w:lvlJc w:val="left"/>
      <w:pPr>
        <w:ind w:left="5477" w:hanging="111"/>
      </w:pPr>
      <w:rPr>
        <w:rFonts w:hint="default"/>
        <w:lang w:val="en-US" w:eastAsia="en-US" w:bidi="en-US"/>
      </w:rPr>
    </w:lvl>
    <w:lvl w:ilvl="6" w:tplc="624210CE">
      <w:numFmt w:val="bullet"/>
      <w:lvlText w:val="•"/>
      <w:lvlJc w:val="left"/>
      <w:pPr>
        <w:ind w:left="6556" w:hanging="111"/>
      </w:pPr>
      <w:rPr>
        <w:rFonts w:hint="default"/>
        <w:lang w:val="en-US" w:eastAsia="en-US" w:bidi="en-US"/>
      </w:rPr>
    </w:lvl>
    <w:lvl w:ilvl="7" w:tplc="02ACC844">
      <w:numFmt w:val="bullet"/>
      <w:lvlText w:val="•"/>
      <w:lvlJc w:val="left"/>
      <w:pPr>
        <w:ind w:left="7635" w:hanging="111"/>
      </w:pPr>
      <w:rPr>
        <w:rFonts w:hint="default"/>
        <w:lang w:val="en-US" w:eastAsia="en-US" w:bidi="en-US"/>
      </w:rPr>
    </w:lvl>
    <w:lvl w:ilvl="8" w:tplc="749882CA">
      <w:numFmt w:val="bullet"/>
      <w:lvlText w:val="•"/>
      <w:lvlJc w:val="left"/>
      <w:pPr>
        <w:ind w:left="8715" w:hanging="111"/>
      </w:pPr>
      <w:rPr>
        <w:rFonts w:hint="default"/>
        <w:lang w:val="en-US" w:eastAsia="en-US" w:bidi="en-US"/>
      </w:rPr>
    </w:lvl>
  </w:abstractNum>
  <w:abstractNum w:abstractNumId="11" w15:restartNumberingAfterBreak="0">
    <w:nsid w:val="36F76135"/>
    <w:multiLevelType w:val="hybridMultilevel"/>
    <w:tmpl w:val="F8989CA2"/>
    <w:lvl w:ilvl="0" w:tplc="FB209650">
      <w:start w:val="1"/>
      <w:numFmt w:val="bullet"/>
      <w:pStyle w:val="TableListBullet2"/>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63515E0E"/>
    <w:multiLevelType w:val="multilevel"/>
    <w:tmpl w:val="AD2639C6"/>
    <w:lvl w:ilvl="0">
      <w:start w:val="1"/>
      <w:numFmt w:val="none"/>
      <w:pStyle w:val="ChapterTitl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49612DA"/>
    <w:multiLevelType w:val="hybridMultilevel"/>
    <w:tmpl w:val="E402CF28"/>
    <w:lvl w:ilvl="0" w:tplc="954E5270">
      <w:start w:val="1"/>
      <w:numFmt w:val="decimal"/>
      <w:pStyle w:val="ListLetterSmall2"/>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59162C"/>
    <w:multiLevelType w:val="hybridMultilevel"/>
    <w:tmpl w:val="D3667AAA"/>
    <w:lvl w:ilvl="0" w:tplc="3F784F0A">
      <w:start w:val="1"/>
      <w:numFmt w:val="upperLetter"/>
      <w:pStyle w:val="ListLetterSmall"/>
      <w:lvlText w:val="%1."/>
      <w:lvlJc w:val="left"/>
      <w:pPr>
        <w:ind w:left="839" w:hanging="360"/>
      </w:pPr>
      <w:rPr>
        <w:rFonts w:hint="default"/>
        <w:i w:val="0"/>
        <w:iCs/>
        <w:w w:val="99"/>
        <w:sz w:val="22"/>
        <w:szCs w:val="22"/>
        <w:lang w:val="en-US" w:eastAsia="en-US" w:bidi="en-US"/>
      </w:rPr>
    </w:lvl>
    <w:lvl w:ilvl="1" w:tplc="D750A146">
      <w:numFmt w:val="bullet"/>
      <w:lvlText w:val="•"/>
      <w:lvlJc w:val="left"/>
      <w:pPr>
        <w:ind w:left="1816" w:hanging="360"/>
      </w:pPr>
      <w:rPr>
        <w:rFonts w:hint="default"/>
        <w:lang w:val="en-US" w:eastAsia="en-US" w:bidi="en-US"/>
      </w:rPr>
    </w:lvl>
    <w:lvl w:ilvl="2" w:tplc="A056B2F0">
      <w:numFmt w:val="bullet"/>
      <w:lvlText w:val="•"/>
      <w:lvlJc w:val="left"/>
      <w:pPr>
        <w:ind w:left="2792" w:hanging="360"/>
      </w:pPr>
      <w:rPr>
        <w:rFonts w:hint="default"/>
        <w:lang w:val="en-US" w:eastAsia="en-US" w:bidi="en-US"/>
      </w:rPr>
    </w:lvl>
    <w:lvl w:ilvl="3" w:tplc="5686ADF2">
      <w:numFmt w:val="bullet"/>
      <w:lvlText w:val="•"/>
      <w:lvlJc w:val="left"/>
      <w:pPr>
        <w:ind w:left="3768" w:hanging="360"/>
      </w:pPr>
      <w:rPr>
        <w:rFonts w:hint="default"/>
        <w:lang w:val="en-US" w:eastAsia="en-US" w:bidi="en-US"/>
      </w:rPr>
    </w:lvl>
    <w:lvl w:ilvl="4" w:tplc="C38EBFD0">
      <w:numFmt w:val="bullet"/>
      <w:lvlText w:val="•"/>
      <w:lvlJc w:val="left"/>
      <w:pPr>
        <w:ind w:left="4744" w:hanging="360"/>
      </w:pPr>
      <w:rPr>
        <w:rFonts w:hint="default"/>
        <w:lang w:val="en-US" w:eastAsia="en-US" w:bidi="en-US"/>
      </w:rPr>
    </w:lvl>
    <w:lvl w:ilvl="5" w:tplc="23D4C53C">
      <w:numFmt w:val="bullet"/>
      <w:lvlText w:val="•"/>
      <w:lvlJc w:val="left"/>
      <w:pPr>
        <w:ind w:left="5720" w:hanging="360"/>
      </w:pPr>
      <w:rPr>
        <w:rFonts w:hint="default"/>
        <w:lang w:val="en-US" w:eastAsia="en-US" w:bidi="en-US"/>
      </w:rPr>
    </w:lvl>
    <w:lvl w:ilvl="6" w:tplc="3E663E3C">
      <w:numFmt w:val="bullet"/>
      <w:lvlText w:val="•"/>
      <w:lvlJc w:val="left"/>
      <w:pPr>
        <w:ind w:left="6696" w:hanging="360"/>
      </w:pPr>
      <w:rPr>
        <w:rFonts w:hint="default"/>
        <w:lang w:val="en-US" w:eastAsia="en-US" w:bidi="en-US"/>
      </w:rPr>
    </w:lvl>
    <w:lvl w:ilvl="7" w:tplc="1218894E">
      <w:numFmt w:val="bullet"/>
      <w:lvlText w:val="•"/>
      <w:lvlJc w:val="left"/>
      <w:pPr>
        <w:ind w:left="7672" w:hanging="360"/>
      </w:pPr>
      <w:rPr>
        <w:rFonts w:hint="default"/>
        <w:lang w:val="en-US" w:eastAsia="en-US" w:bidi="en-US"/>
      </w:rPr>
    </w:lvl>
    <w:lvl w:ilvl="8" w:tplc="F8FEBBAC">
      <w:numFmt w:val="bullet"/>
      <w:lvlText w:val="•"/>
      <w:lvlJc w:val="left"/>
      <w:pPr>
        <w:ind w:left="8648" w:hanging="360"/>
      </w:pPr>
      <w:rPr>
        <w:rFonts w:hint="default"/>
        <w:lang w:val="en-US" w:eastAsia="en-US" w:bidi="en-US"/>
      </w:rPr>
    </w:lvl>
  </w:abstractNum>
  <w:abstractNum w:abstractNumId="17" w15:restartNumberingAfterBreak="0">
    <w:nsid w:val="6CAD78FF"/>
    <w:multiLevelType w:val="hybridMultilevel"/>
    <w:tmpl w:val="0E485ABC"/>
    <w:lvl w:ilvl="0" w:tplc="6B12E954">
      <w:start w:val="1"/>
      <w:numFmt w:val="bullet"/>
      <w:pStyle w:val="ListBulletinTabl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16261"/>
    <w:multiLevelType w:val="hybridMultilevel"/>
    <w:tmpl w:val="66A2C812"/>
    <w:lvl w:ilvl="0" w:tplc="FA2E61FA">
      <w:start w:val="1"/>
      <w:numFmt w:val="bullet"/>
      <w:pStyle w:val="Table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1497401">
    <w:abstractNumId w:val="9"/>
  </w:num>
  <w:num w:numId="2" w16cid:durableId="1834031406">
    <w:abstractNumId w:val="8"/>
  </w:num>
  <w:num w:numId="3" w16cid:durableId="1935481443">
    <w:abstractNumId w:val="7"/>
  </w:num>
  <w:num w:numId="4" w16cid:durableId="1954512749">
    <w:abstractNumId w:val="6"/>
  </w:num>
  <w:num w:numId="5" w16cid:durableId="2061856819">
    <w:abstractNumId w:val="5"/>
  </w:num>
  <w:num w:numId="6" w16cid:durableId="309481706">
    <w:abstractNumId w:val="4"/>
  </w:num>
  <w:num w:numId="7" w16cid:durableId="473837489">
    <w:abstractNumId w:val="3"/>
  </w:num>
  <w:num w:numId="8" w16cid:durableId="1898055317">
    <w:abstractNumId w:val="2"/>
  </w:num>
  <w:num w:numId="9" w16cid:durableId="1389766198">
    <w:abstractNumId w:val="1"/>
  </w:num>
  <w:num w:numId="10" w16cid:durableId="1883208754">
    <w:abstractNumId w:val="0"/>
  </w:num>
  <w:num w:numId="11" w16cid:durableId="1796021605">
    <w:abstractNumId w:val="19"/>
  </w:num>
  <w:num w:numId="12" w16cid:durableId="1129934031">
    <w:abstractNumId w:val="15"/>
  </w:num>
  <w:num w:numId="13" w16cid:durableId="1397781011">
    <w:abstractNumId w:val="13"/>
  </w:num>
  <w:num w:numId="14" w16cid:durableId="126702972">
    <w:abstractNumId w:val="12"/>
  </w:num>
  <w:num w:numId="15" w16cid:durableId="279920247">
    <w:abstractNumId w:val="17"/>
  </w:num>
  <w:num w:numId="16" w16cid:durableId="148137955">
    <w:abstractNumId w:val="10"/>
  </w:num>
  <w:num w:numId="17" w16cid:durableId="1192838643">
    <w:abstractNumId w:val="16"/>
  </w:num>
  <w:num w:numId="18" w16cid:durableId="1014259608">
    <w:abstractNumId w:val="18"/>
  </w:num>
  <w:num w:numId="19" w16cid:durableId="2067802083">
    <w:abstractNumId w:val="11"/>
  </w:num>
  <w:num w:numId="20" w16cid:durableId="1322855497">
    <w:abstractNumId w:val="16"/>
    <w:lvlOverride w:ilvl="0">
      <w:startOverride w:val="1"/>
    </w:lvlOverride>
  </w:num>
  <w:num w:numId="21" w16cid:durableId="1107583754">
    <w:abstractNumId w:val="16"/>
    <w:lvlOverride w:ilvl="0">
      <w:startOverride w:val="1"/>
    </w:lvlOverride>
  </w:num>
  <w:num w:numId="22" w16cid:durableId="1750883477">
    <w:abstractNumId w:val="16"/>
    <w:lvlOverride w:ilvl="0">
      <w:startOverride w:val="1"/>
    </w:lvlOverride>
  </w:num>
  <w:num w:numId="23" w16cid:durableId="759109054">
    <w:abstractNumId w:val="16"/>
    <w:lvlOverride w:ilvl="0">
      <w:startOverride w:val="1"/>
    </w:lvlOverride>
  </w:num>
  <w:num w:numId="24" w16cid:durableId="1761833308">
    <w:abstractNumId w:val="16"/>
    <w:lvlOverride w:ilvl="0">
      <w:startOverride w:val="1"/>
    </w:lvlOverride>
  </w:num>
  <w:num w:numId="25" w16cid:durableId="1615943482">
    <w:abstractNumId w:val="16"/>
    <w:lvlOverride w:ilvl="0">
      <w:startOverride w:val="1"/>
    </w:lvlOverride>
  </w:num>
  <w:num w:numId="26" w16cid:durableId="902369937">
    <w:abstractNumId w:val="16"/>
    <w:lvlOverride w:ilvl="0">
      <w:startOverride w:val="1"/>
    </w:lvlOverride>
  </w:num>
  <w:num w:numId="27" w16cid:durableId="1264193957">
    <w:abstractNumId w:val="16"/>
    <w:lvlOverride w:ilvl="0">
      <w:startOverride w:val="1"/>
    </w:lvlOverride>
  </w:num>
  <w:num w:numId="28" w16cid:durableId="2132480763">
    <w:abstractNumId w:val="16"/>
    <w:lvlOverride w:ilvl="0">
      <w:startOverride w:val="1"/>
    </w:lvlOverride>
  </w:num>
  <w:num w:numId="29" w16cid:durableId="723992702">
    <w:abstractNumId w:val="16"/>
    <w:lvlOverride w:ilvl="0">
      <w:startOverride w:val="1"/>
    </w:lvlOverride>
  </w:num>
  <w:num w:numId="30" w16cid:durableId="828135688">
    <w:abstractNumId w:val="16"/>
    <w:lvlOverride w:ilvl="0">
      <w:startOverride w:val="1"/>
    </w:lvlOverride>
  </w:num>
  <w:num w:numId="31" w16cid:durableId="47996349">
    <w:abstractNumId w:val="14"/>
  </w:num>
  <w:num w:numId="32" w16cid:durableId="275717554">
    <w:abstractNumId w:val="16"/>
    <w:lvlOverride w:ilvl="0">
      <w:startOverride w:val="1"/>
    </w:lvlOverride>
  </w:num>
  <w:num w:numId="33" w16cid:durableId="1929121182">
    <w:abstractNumId w:val="16"/>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efaultTabStop w:val="72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12"/>
    <w:rsid w:val="00051B7F"/>
    <w:rsid w:val="000D3755"/>
    <w:rsid w:val="000D39DD"/>
    <w:rsid w:val="001135B1"/>
    <w:rsid w:val="00116413"/>
    <w:rsid w:val="00145FA7"/>
    <w:rsid w:val="00164CE2"/>
    <w:rsid w:val="00174280"/>
    <w:rsid w:val="0017492A"/>
    <w:rsid w:val="00187DF5"/>
    <w:rsid w:val="001918A9"/>
    <w:rsid w:val="00196F90"/>
    <w:rsid w:val="001A65D8"/>
    <w:rsid w:val="001E4E7F"/>
    <w:rsid w:val="00202A01"/>
    <w:rsid w:val="00207018"/>
    <w:rsid w:val="00244152"/>
    <w:rsid w:val="00245310"/>
    <w:rsid w:val="00246B61"/>
    <w:rsid w:val="00261265"/>
    <w:rsid w:val="00267310"/>
    <w:rsid w:val="002677C4"/>
    <w:rsid w:val="00297D38"/>
    <w:rsid w:val="002C68F3"/>
    <w:rsid w:val="00313BB9"/>
    <w:rsid w:val="00315557"/>
    <w:rsid w:val="00351FD0"/>
    <w:rsid w:val="003534C7"/>
    <w:rsid w:val="00357334"/>
    <w:rsid w:val="00393C75"/>
    <w:rsid w:val="00396C18"/>
    <w:rsid w:val="003A5AA8"/>
    <w:rsid w:val="003B41DF"/>
    <w:rsid w:val="003D7D1F"/>
    <w:rsid w:val="003F457E"/>
    <w:rsid w:val="003F5ABB"/>
    <w:rsid w:val="00417619"/>
    <w:rsid w:val="0046089F"/>
    <w:rsid w:val="004817B6"/>
    <w:rsid w:val="004A726B"/>
    <w:rsid w:val="004D2CA6"/>
    <w:rsid w:val="004D41B2"/>
    <w:rsid w:val="004F5BF5"/>
    <w:rsid w:val="00510595"/>
    <w:rsid w:val="005178CF"/>
    <w:rsid w:val="00540447"/>
    <w:rsid w:val="005464F5"/>
    <w:rsid w:val="00550A48"/>
    <w:rsid w:val="0055212A"/>
    <w:rsid w:val="005B74B6"/>
    <w:rsid w:val="005E3EFB"/>
    <w:rsid w:val="005F337F"/>
    <w:rsid w:val="00602FFB"/>
    <w:rsid w:val="00617BB4"/>
    <w:rsid w:val="006514EA"/>
    <w:rsid w:val="0065525B"/>
    <w:rsid w:val="00666D7E"/>
    <w:rsid w:val="00671530"/>
    <w:rsid w:val="006730D8"/>
    <w:rsid w:val="006763F9"/>
    <w:rsid w:val="006955C6"/>
    <w:rsid w:val="006B7D8B"/>
    <w:rsid w:val="006C55DE"/>
    <w:rsid w:val="0072249E"/>
    <w:rsid w:val="00727F1C"/>
    <w:rsid w:val="00730D28"/>
    <w:rsid w:val="00732647"/>
    <w:rsid w:val="00746472"/>
    <w:rsid w:val="0075745D"/>
    <w:rsid w:val="007C7221"/>
    <w:rsid w:val="007E07F4"/>
    <w:rsid w:val="007F1D92"/>
    <w:rsid w:val="008026B7"/>
    <w:rsid w:val="0085033F"/>
    <w:rsid w:val="008755F2"/>
    <w:rsid w:val="00896189"/>
    <w:rsid w:val="008D286A"/>
    <w:rsid w:val="008D5AD5"/>
    <w:rsid w:val="008E33DD"/>
    <w:rsid w:val="008E6CA0"/>
    <w:rsid w:val="008F4441"/>
    <w:rsid w:val="0094541B"/>
    <w:rsid w:val="0097286B"/>
    <w:rsid w:val="009759B4"/>
    <w:rsid w:val="00984212"/>
    <w:rsid w:val="00996B99"/>
    <w:rsid w:val="00A03680"/>
    <w:rsid w:val="00A2193F"/>
    <w:rsid w:val="00A75BA9"/>
    <w:rsid w:val="00AA1FE8"/>
    <w:rsid w:val="00AA5C91"/>
    <w:rsid w:val="00AA697D"/>
    <w:rsid w:val="00AB074C"/>
    <w:rsid w:val="00AB3931"/>
    <w:rsid w:val="00AB3A33"/>
    <w:rsid w:val="00AE368A"/>
    <w:rsid w:val="00AF6F96"/>
    <w:rsid w:val="00B3681B"/>
    <w:rsid w:val="00B4403F"/>
    <w:rsid w:val="00B71F03"/>
    <w:rsid w:val="00B8144F"/>
    <w:rsid w:val="00B868F1"/>
    <w:rsid w:val="00BA4E4D"/>
    <w:rsid w:val="00BB108F"/>
    <w:rsid w:val="00BB1784"/>
    <w:rsid w:val="00BE39E1"/>
    <w:rsid w:val="00BF000E"/>
    <w:rsid w:val="00C906DC"/>
    <w:rsid w:val="00C91CFD"/>
    <w:rsid w:val="00C95864"/>
    <w:rsid w:val="00CB57C3"/>
    <w:rsid w:val="00CB7DF8"/>
    <w:rsid w:val="00CC59A8"/>
    <w:rsid w:val="00CC6108"/>
    <w:rsid w:val="00CF4CB6"/>
    <w:rsid w:val="00D361B8"/>
    <w:rsid w:val="00D44331"/>
    <w:rsid w:val="00D53F25"/>
    <w:rsid w:val="00D642CF"/>
    <w:rsid w:val="00D9218C"/>
    <w:rsid w:val="00DB72FD"/>
    <w:rsid w:val="00DB788B"/>
    <w:rsid w:val="00DC278A"/>
    <w:rsid w:val="00DE7C8C"/>
    <w:rsid w:val="00E05CBF"/>
    <w:rsid w:val="00E14844"/>
    <w:rsid w:val="00E52C9A"/>
    <w:rsid w:val="00E93DEF"/>
    <w:rsid w:val="00EA1F7C"/>
    <w:rsid w:val="00ED133F"/>
    <w:rsid w:val="00EF6A56"/>
    <w:rsid w:val="00F14AF7"/>
    <w:rsid w:val="00F30FE1"/>
    <w:rsid w:val="00F56A6D"/>
    <w:rsid w:val="00F56E78"/>
    <w:rsid w:val="00F62285"/>
    <w:rsid w:val="00F63A75"/>
    <w:rsid w:val="00F84C3B"/>
    <w:rsid w:val="00FA1D63"/>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0408"/>
  <w15:chartTrackingRefBased/>
  <w15:docId w15:val="{8F88A787-7777-4EE5-94EF-D5F9007A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rsid w:val="00984212"/>
    <w:pPr>
      <w:spacing w:after="240" w:line="264" w:lineRule="auto"/>
    </w:pPr>
    <w:rPr>
      <w:rFonts w:ascii="Lucida Bright" w:hAnsi="Lucida Bright"/>
      <w:sz w:val="22"/>
      <w:szCs w:val="22"/>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unhideWhenUsed/>
    <w:qFormat/>
    <w:rsid w:val="00CC59A8"/>
    <w:pPr>
      <w:ind w:hanging="720"/>
      <w:contextualSpacing/>
    </w:pPr>
  </w:style>
  <w:style w:type="paragraph" w:styleId="BodyText">
    <w:name w:val="Body Text"/>
    <w:link w:val="BodyTextChar"/>
    <w:uiPriority w:val="4"/>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uiPriority w:val="4"/>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0"/>
    <w:qFormat/>
    <w:rsid w:val="00CC59A8"/>
    <w:rPr>
      <w:i/>
      <w:iCs/>
    </w:rPr>
  </w:style>
  <w:style w:type="character" w:styleId="Strong">
    <w:name w:val="Strong"/>
    <w:uiPriority w:val="22"/>
    <w:qFormat/>
    <w:rsid w:val="00CC59A8"/>
    <w:rPr>
      <w:b/>
      <w:bCs/>
    </w:rPr>
  </w:style>
  <w:style w:type="character" w:styleId="BookTitle">
    <w:name w:val="Book Title"/>
    <w:uiPriority w:val="3"/>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aliases w:val="Block Quote"/>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39"/>
    <w:rsid w:val="00315557"/>
    <w:pPr>
      <w:ind w:left="720"/>
    </w:pPr>
  </w:style>
  <w:style w:type="paragraph" w:styleId="TOC5">
    <w:name w:val="toc 5"/>
    <w:basedOn w:val="TOC1"/>
    <w:next w:val="TOC6"/>
    <w:uiPriority w:val="39"/>
    <w:rsid w:val="00CC59A8"/>
    <w:pPr>
      <w:ind w:left="960"/>
    </w:pPr>
  </w:style>
  <w:style w:type="paragraph" w:styleId="TOC6">
    <w:name w:val="toc 6"/>
    <w:basedOn w:val="TOC5"/>
    <w:next w:val="Normal"/>
    <w:uiPriority w:val="39"/>
    <w:unhideWhenUsed/>
    <w:rsid w:val="00CC59A8"/>
    <w:pPr>
      <w:ind w:left="1200"/>
    </w:pPr>
  </w:style>
  <w:style w:type="paragraph" w:styleId="TOC7">
    <w:name w:val="toc 7"/>
    <w:basedOn w:val="TOC6"/>
    <w:next w:val="Normal"/>
    <w:uiPriority w:val="39"/>
    <w:unhideWhenUsed/>
    <w:rsid w:val="00CC59A8"/>
    <w:pPr>
      <w:ind w:left="1440"/>
    </w:pPr>
  </w:style>
  <w:style w:type="paragraph" w:styleId="TOC8">
    <w:name w:val="toc 8"/>
    <w:basedOn w:val="TOC7"/>
    <w:next w:val="Normal"/>
    <w:uiPriority w:val="39"/>
    <w:unhideWhenUsed/>
    <w:rsid w:val="00CC59A8"/>
    <w:pPr>
      <w:ind w:left="1680"/>
    </w:pPr>
  </w:style>
  <w:style w:type="paragraph" w:styleId="TOC9">
    <w:name w:val="toc 9"/>
    <w:basedOn w:val="TOC8"/>
    <w:next w:val="Normal"/>
    <w:uiPriority w:val="39"/>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rsid w:val="00CC59A8"/>
    <w:rPr>
      <w:szCs w:val="20"/>
    </w:rPr>
  </w:style>
  <w:style w:type="character" w:customStyle="1" w:styleId="FootnoteTextChar">
    <w:name w:val="Footnote Text Char"/>
    <w:basedOn w:val="DefaultParagraphFont"/>
    <w:link w:val="FootnoteText"/>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qFormat/>
    <w:rsid w:val="00CC59A8"/>
    <w:pPr>
      <w:tabs>
        <w:tab w:val="center" w:pos="4320"/>
        <w:tab w:val="right" w:pos="8640"/>
      </w:tabs>
    </w:pPr>
  </w:style>
  <w:style w:type="character" w:customStyle="1" w:styleId="HeaderChar">
    <w:name w:val="Header Char"/>
    <w:basedOn w:val="DefaultParagraphFont"/>
    <w:link w:val="Header"/>
    <w:rsid w:val="00CC59A8"/>
    <w:rPr>
      <w:rFonts w:cstheme="minorBidi"/>
    </w:rPr>
  </w:style>
  <w:style w:type="paragraph" w:styleId="Footer">
    <w:name w:val="footer"/>
    <w:basedOn w:val="Normal"/>
    <w:link w:val="FooterChar"/>
    <w:uiPriority w:val="99"/>
    <w:qFormat/>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uiPriority w:val="99"/>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uiPriority w:val="99"/>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ableParagraph">
    <w:name w:val="Table Paragraph"/>
    <w:basedOn w:val="BodyText"/>
    <w:uiPriority w:val="1"/>
    <w:qFormat/>
    <w:rsid w:val="00984212"/>
    <w:pPr>
      <w:suppressAutoHyphens/>
      <w:spacing w:before="60" w:line="264" w:lineRule="auto"/>
    </w:pPr>
    <w:rPr>
      <w:rFonts w:ascii="Verdana" w:hAnsi="Verdana"/>
      <w:szCs w:val="22"/>
    </w:rPr>
  </w:style>
  <w:style w:type="paragraph" w:styleId="Revision">
    <w:name w:val="Revision"/>
    <w:hidden/>
    <w:uiPriority w:val="99"/>
    <w:semiHidden/>
    <w:rsid w:val="00984212"/>
    <w:pPr>
      <w:spacing w:before="0" w:after="0"/>
    </w:pPr>
    <w:rPr>
      <w:rFonts w:ascii="Verdana" w:eastAsia="Verdana" w:hAnsi="Verdana" w:cs="Verdana"/>
      <w:sz w:val="22"/>
      <w:szCs w:val="22"/>
      <w:lang w:bidi="en-US"/>
    </w:rPr>
  </w:style>
  <w:style w:type="character" w:customStyle="1" w:styleId="Underline">
    <w:name w:val="Underline"/>
    <w:uiPriority w:val="99"/>
    <w:semiHidden/>
    <w:rsid w:val="00984212"/>
    <w:rPr>
      <w:sz w:val="22"/>
      <w:u w:val="single"/>
    </w:rPr>
  </w:style>
  <w:style w:type="character" w:styleId="PlaceholderText">
    <w:name w:val="Placeholder Text"/>
    <w:basedOn w:val="DefaultParagraphFont"/>
    <w:uiPriority w:val="99"/>
    <w:semiHidden/>
    <w:rsid w:val="00984212"/>
    <w:rPr>
      <w:color w:val="808080"/>
    </w:rPr>
  </w:style>
  <w:style w:type="paragraph" w:customStyle="1" w:styleId="ADA-EOEstatement">
    <w:name w:val="ADA-EOE statement"/>
    <w:basedOn w:val="Normal"/>
    <w:uiPriority w:val="99"/>
    <w:rsid w:val="00984212"/>
    <w:pPr>
      <w:tabs>
        <w:tab w:val="left" w:pos="720"/>
      </w:tabs>
      <w:spacing w:before="5520" w:after="0" w:line="240" w:lineRule="auto"/>
      <w:jc w:val="center"/>
    </w:pPr>
    <w:rPr>
      <w:rFonts w:cstheme="minorBidi"/>
      <w:sz w:val="18"/>
      <w:szCs w:val="18"/>
    </w:rPr>
  </w:style>
  <w:style w:type="paragraph" w:customStyle="1" w:styleId="blankpagetext">
    <w:name w:val="blank page text"/>
    <w:basedOn w:val="BodyText"/>
    <w:uiPriority w:val="99"/>
    <w:semiHidden/>
    <w:rsid w:val="00984212"/>
    <w:pPr>
      <w:spacing w:before="5400" w:after="240" w:line="264" w:lineRule="auto"/>
      <w:jc w:val="center"/>
    </w:pPr>
    <w:rPr>
      <w:sz w:val="22"/>
      <w:szCs w:val="22"/>
    </w:rPr>
  </w:style>
  <w:style w:type="paragraph" w:customStyle="1" w:styleId="BodyTextafterList">
    <w:name w:val="Body Text after List"/>
    <w:aliases w:val="Table,Figure"/>
    <w:basedOn w:val="BodyText"/>
    <w:next w:val="BodyText"/>
    <w:uiPriority w:val="99"/>
    <w:semiHidden/>
    <w:rsid w:val="00984212"/>
    <w:pPr>
      <w:spacing w:before="360" w:after="240" w:line="264" w:lineRule="auto"/>
    </w:pPr>
    <w:rPr>
      <w:sz w:val="22"/>
      <w:szCs w:val="22"/>
    </w:rPr>
  </w:style>
  <w:style w:type="paragraph" w:customStyle="1" w:styleId="BodyTextCenterSingleSpace">
    <w:name w:val="Body Text Center Single Space"/>
    <w:basedOn w:val="Normal"/>
    <w:uiPriority w:val="99"/>
    <w:rsid w:val="00984212"/>
    <w:pPr>
      <w:spacing w:before="0" w:line="240" w:lineRule="auto"/>
      <w:jc w:val="center"/>
    </w:pPr>
    <w:rPr>
      <w:rFonts w:cstheme="minorBidi"/>
      <w:szCs w:val="24"/>
    </w:rPr>
  </w:style>
  <w:style w:type="paragraph" w:customStyle="1" w:styleId="BodyTextforFigure">
    <w:name w:val="Body Text for Figure"/>
    <w:basedOn w:val="BodyText"/>
    <w:next w:val="CaptionFigure"/>
    <w:uiPriority w:val="99"/>
    <w:rsid w:val="00984212"/>
    <w:pPr>
      <w:spacing w:before="120" w:after="0" w:line="264" w:lineRule="auto"/>
      <w:jc w:val="center"/>
    </w:pPr>
    <w:rPr>
      <w:sz w:val="22"/>
      <w:szCs w:val="22"/>
    </w:rPr>
  </w:style>
  <w:style w:type="paragraph" w:customStyle="1" w:styleId="BodyTextSingle">
    <w:name w:val="Body Text Single"/>
    <w:basedOn w:val="BodyText"/>
    <w:next w:val="BodyText"/>
    <w:link w:val="BodyTextSingleChar"/>
    <w:uiPriority w:val="99"/>
    <w:qFormat/>
    <w:rsid w:val="00984212"/>
    <w:pPr>
      <w:spacing w:after="0" w:line="264" w:lineRule="auto"/>
    </w:pPr>
    <w:rPr>
      <w:sz w:val="22"/>
      <w:szCs w:val="22"/>
    </w:rPr>
  </w:style>
  <w:style w:type="paragraph" w:customStyle="1" w:styleId="CaptionFigure">
    <w:name w:val="Caption Figure"/>
    <w:basedOn w:val="Caption"/>
    <w:next w:val="BodyTextafterList"/>
    <w:uiPriority w:val="99"/>
    <w:rsid w:val="00984212"/>
    <w:pPr>
      <w:keepLines w:val="0"/>
      <w:spacing w:before="60" w:after="240" w:line="264" w:lineRule="auto"/>
      <w:outlineLvl w:val="9"/>
    </w:pPr>
    <w:rPr>
      <w:noProof/>
      <w:sz w:val="20"/>
    </w:rPr>
  </w:style>
  <w:style w:type="paragraph" w:customStyle="1" w:styleId="CaptionTable">
    <w:name w:val="Caption Table"/>
    <w:basedOn w:val="Caption"/>
    <w:next w:val="BodyText"/>
    <w:uiPriority w:val="99"/>
    <w:rsid w:val="00984212"/>
    <w:pPr>
      <w:keepLines w:val="0"/>
      <w:spacing w:before="240" w:after="60" w:line="264" w:lineRule="auto"/>
      <w:outlineLvl w:val="9"/>
    </w:pPr>
    <w:rPr>
      <w:noProof/>
      <w:sz w:val="20"/>
    </w:rPr>
  </w:style>
  <w:style w:type="paragraph" w:customStyle="1" w:styleId="ChapterTitle">
    <w:name w:val="Chapter Title"/>
    <w:basedOn w:val="Heading1"/>
    <w:next w:val="TOCHeading"/>
    <w:uiPriority w:val="99"/>
    <w:rsid w:val="00984212"/>
    <w:pPr>
      <w:keepNext w:val="0"/>
      <w:keepLines w:val="0"/>
      <w:framePr w:wrap="notBeside" w:vAnchor="text" w:hAnchor="text" w:y="1"/>
      <w:numPr>
        <w:numId w:val="14"/>
      </w:numPr>
      <w:tabs>
        <w:tab w:val="right" w:pos="9360"/>
      </w:tabs>
      <w:spacing w:before="0" w:after="240" w:line="320" w:lineRule="atLeast"/>
    </w:pPr>
    <w:rPr>
      <w:spacing w:val="5"/>
      <w:kern w:val="28"/>
      <w:szCs w:val="52"/>
    </w:rPr>
  </w:style>
  <w:style w:type="paragraph" w:customStyle="1" w:styleId="FooterEEOADABlurb">
    <w:name w:val="Footer EEO/ADA Blurb"/>
    <w:semiHidden/>
    <w:rsid w:val="00984212"/>
    <w:pPr>
      <w:widowControl w:val="0"/>
      <w:autoSpaceDE w:val="0"/>
      <w:autoSpaceDN w:val="0"/>
      <w:spacing w:before="0" w:after="0" w:line="264" w:lineRule="auto"/>
    </w:pPr>
    <w:rPr>
      <w:rFonts w:ascii="Lucida Bright" w:eastAsia="Times New Roman" w:hAnsi="Lucida Bright"/>
      <w:sz w:val="18"/>
      <w:szCs w:val="22"/>
    </w:rPr>
  </w:style>
  <w:style w:type="paragraph" w:customStyle="1" w:styleId="Footertopline">
    <w:name w:val="Footer top line"/>
    <w:basedOn w:val="Footer"/>
    <w:link w:val="FootertoplineChar"/>
    <w:uiPriority w:val="1"/>
    <w:semiHidden/>
    <w:rsid w:val="00984212"/>
    <w:pPr>
      <w:pBdr>
        <w:top w:val="single" w:sz="4" w:space="3" w:color="auto"/>
        <w:bottom w:val="single" w:sz="4" w:space="1" w:color="auto"/>
      </w:pBdr>
      <w:tabs>
        <w:tab w:val="clear" w:pos="4320"/>
      </w:tabs>
      <w:spacing w:before="240"/>
      <w:jc w:val="center"/>
    </w:pPr>
    <w:rPr>
      <w:rFonts w:ascii="Verdana" w:eastAsia="Times New Roman" w:hAnsi="Verdana"/>
      <w:sz w:val="16"/>
    </w:rPr>
  </w:style>
  <w:style w:type="character" w:customStyle="1" w:styleId="FootertoplineChar">
    <w:name w:val="Footer top line Char"/>
    <w:basedOn w:val="FooterChar"/>
    <w:link w:val="Footertopline"/>
    <w:uiPriority w:val="1"/>
    <w:semiHidden/>
    <w:rsid w:val="00984212"/>
    <w:rPr>
      <w:rFonts w:ascii="Verdana" w:eastAsia="Times New Roman" w:hAnsi="Verdana" w:cstheme="minorBidi"/>
      <w:sz w:val="16"/>
      <w:szCs w:val="22"/>
    </w:rPr>
  </w:style>
  <w:style w:type="paragraph" w:customStyle="1" w:styleId="ListBulletinColumns">
    <w:name w:val="List Bullet in Columns"/>
    <w:basedOn w:val="ListBullet"/>
    <w:uiPriority w:val="99"/>
    <w:rsid w:val="00984212"/>
    <w:pPr>
      <w:numPr>
        <w:numId w:val="0"/>
      </w:numPr>
      <w:spacing w:after="80" w:line="264" w:lineRule="auto"/>
      <w:ind w:left="720" w:hanging="360"/>
    </w:pPr>
    <w:rPr>
      <w:sz w:val="22"/>
      <w:szCs w:val="22"/>
    </w:rPr>
  </w:style>
  <w:style w:type="paragraph" w:customStyle="1" w:styleId="ListBulletinTable">
    <w:name w:val="List Bullet in Table"/>
    <w:basedOn w:val="TableParagraph"/>
    <w:next w:val="TableParagraph"/>
    <w:uiPriority w:val="99"/>
    <w:rsid w:val="00984212"/>
    <w:pPr>
      <w:numPr>
        <w:numId w:val="15"/>
      </w:numPr>
    </w:pPr>
  </w:style>
  <w:style w:type="paragraph" w:customStyle="1" w:styleId="ListsinTables">
    <w:name w:val="Lists in Tables"/>
    <w:basedOn w:val="TableParagraph"/>
    <w:next w:val="TableParagraph-multiple-grafs"/>
    <w:uiPriority w:val="99"/>
    <w:rsid w:val="00984212"/>
    <w:pPr>
      <w:numPr>
        <w:numId w:val="16"/>
      </w:numPr>
      <w:tabs>
        <w:tab w:val="left" w:pos="195"/>
      </w:tabs>
      <w:spacing w:line="232" w:lineRule="auto"/>
      <w:ind w:right="13"/>
    </w:pPr>
    <w:rPr>
      <w:szCs w:val="20"/>
    </w:rPr>
  </w:style>
  <w:style w:type="paragraph" w:styleId="NoSpacing">
    <w:name w:val="No Spacing"/>
    <w:uiPriority w:val="99"/>
    <w:semiHidden/>
    <w:qFormat/>
    <w:rsid w:val="00984212"/>
    <w:pPr>
      <w:tabs>
        <w:tab w:val="left" w:pos="720"/>
      </w:tabs>
      <w:spacing w:before="0" w:after="0" w:line="264" w:lineRule="auto"/>
    </w:pPr>
    <w:rPr>
      <w:rFonts w:ascii="Lucida Bright" w:hAnsi="Lucida Bright" w:cstheme="minorBidi"/>
      <w:sz w:val="22"/>
      <w:szCs w:val="22"/>
    </w:rPr>
  </w:style>
  <w:style w:type="paragraph" w:customStyle="1" w:styleId="P1Footer">
    <w:name w:val="P1 Footer"/>
    <w:basedOn w:val="Footer"/>
    <w:uiPriority w:val="1"/>
    <w:semiHidden/>
    <w:qFormat/>
    <w:rsid w:val="00984212"/>
    <w:pPr>
      <w:pBdr>
        <w:top w:val="single" w:sz="4" w:space="3" w:color="auto"/>
      </w:pBdr>
      <w:tabs>
        <w:tab w:val="clear" w:pos="4320"/>
      </w:tabs>
      <w:spacing w:before="240"/>
      <w:jc w:val="center"/>
    </w:pPr>
    <w:rPr>
      <w:rFonts w:ascii="Verdana" w:eastAsia="Times New Roman" w:hAnsi="Verdana"/>
      <w:sz w:val="16"/>
    </w:rPr>
  </w:style>
  <w:style w:type="paragraph" w:customStyle="1" w:styleId="P1FooterEEOADABlurb">
    <w:name w:val="P1 Footer EEO/ADA Blurb"/>
    <w:basedOn w:val="P1Footer"/>
    <w:uiPriority w:val="1"/>
    <w:semiHidden/>
    <w:qFormat/>
    <w:rsid w:val="00984212"/>
    <w:pPr>
      <w:jc w:val="left"/>
    </w:pPr>
    <w:rPr>
      <w:sz w:val="10"/>
    </w:rPr>
  </w:style>
  <w:style w:type="paragraph" w:customStyle="1" w:styleId="StyleP1FooterEEOADABlurb9pt">
    <w:name w:val="Style P1 Footer EEO/ADA Blurb + 9 pt"/>
    <w:basedOn w:val="P1FooterEEOADABlurb"/>
    <w:semiHidden/>
    <w:rsid w:val="00984212"/>
    <w:rPr>
      <w:rFonts w:ascii="Lucida Bright" w:hAnsi="Lucida Bright"/>
      <w:sz w:val="18"/>
    </w:rPr>
  </w:style>
  <w:style w:type="table" w:customStyle="1" w:styleId="Table3Deffects11">
    <w:name w:val="Table 3D effects 11"/>
    <w:basedOn w:val="TableNormal"/>
    <w:next w:val="Table3Deffects1"/>
    <w:semiHidden/>
    <w:rsid w:val="00984212"/>
    <w:pPr>
      <w:spacing w:after="240" w:line="264" w:lineRule="auto"/>
    </w:pPr>
    <w:rPr>
      <w:rFonts w:ascii="Lucida Bright" w:eastAsia="Times New Roman" w:hAnsi="Lucida Bright"/>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2">
    <w:name w:val="Table 3D effects 12"/>
    <w:basedOn w:val="TableNormal"/>
    <w:next w:val="Table3Deffects1"/>
    <w:semiHidden/>
    <w:rsid w:val="00984212"/>
    <w:pPr>
      <w:spacing w:after="240" w:line="264" w:lineRule="auto"/>
    </w:pPr>
    <w:rPr>
      <w:rFonts w:ascii="Lucida Bright" w:eastAsia="Times New Roman" w:hAnsi="Lucida Bright"/>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984212"/>
    <w:pPr>
      <w:spacing w:after="240" w:line="264" w:lineRule="auto"/>
    </w:pPr>
    <w:rPr>
      <w:rFonts w:ascii="Lucida Bright" w:eastAsia="Times New Roman" w:hAnsi="Lucida Bright"/>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semiHidden/>
    <w:rsid w:val="00984212"/>
    <w:pPr>
      <w:spacing w:after="240" w:line="264" w:lineRule="auto"/>
    </w:pPr>
    <w:rPr>
      <w:rFonts w:ascii="Lucida Bright" w:eastAsia="Times New Roman" w:hAnsi="Lucida Bright"/>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984212"/>
    <w:pPr>
      <w:spacing w:after="240" w:line="264" w:lineRule="auto"/>
    </w:pPr>
    <w:rPr>
      <w:rFonts w:ascii="Lucida Bright" w:eastAsia="Times New Roman" w:hAnsi="Lucida Bright"/>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984212"/>
    <w:pPr>
      <w:spacing w:after="240" w:line="264" w:lineRule="auto"/>
    </w:pPr>
    <w:rPr>
      <w:rFonts w:ascii="Lucida Bright" w:eastAsia="Times New Roman" w:hAnsi="Lucida Bright"/>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984212"/>
    <w:pPr>
      <w:spacing w:after="240" w:line="264" w:lineRule="auto"/>
    </w:pPr>
    <w:rPr>
      <w:rFonts w:ascii="Lucida Bright" w:eastAsia="Times New Roman" w:hAnsi="Lucida Bright"/>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984212"/>
    <w:pPr>
      <w:spacing w:after="240" w:line="264" w:lineRule="auto"/>
    </w:pPr>
    <w:rPr>
      <w:rFonts w:ascii="Lucida Bright" w:eastAsia="Times New Roman" w:hAnsi="Lucida Bright"/>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984212"/>
    <w:pPr>
      <w:spacing w:after="240" w:line="264" w:lineRule="auto"/>
    </w:pPr>
    <w:rPr>
      <w:rFonts w:ascii="Lucida Bright" w:eastAsia="Times New Roman" w:hAnsi="Lucida Bright"/>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984212"/>
    <w:pPr>
      <w:spacing w:after="240" w:line="264" w:lineRule="auto"/>
    </w:pPr>
    <w:rPr>
      <w:rFonts w:ascii="Lucida Bright" w:eastAsia="Times New Roman" w:hAnsi="Lucida Bright"/>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984212"/>
    <w:pPr>
      <w:spacing w:after="240" w:line="264" w:lineRule="auto"/>
    </w:pPr>
    <w:rPr>
      <w:rFonts w:ascii="Lucida Bright" w:eastAsia="Times New Roman" w:hAnsi="Lucida Bright"/>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984212"/>
    <w:pPr>
      <w:spacing w:after="240" w:line="264" w:lineRule="auto"/>
    </w:pPr>
    <w:rPr>
      <w:rFonts w:ascii="Lucida Bright" w:eastAsia="Times New Roman" w:hAnsi="Lucida Bright"/>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984212"/>
    <w:pPr>
      <w:spacing w:after="240" w:line="264" w:lineRule="auto"/>
    </w:pPr>
    <w:rPr>
      <w:rFonts w:ascii="Lucida Bright" w:eastAsia="Times New Roman" w:hAnsi="Lucida Bright"/>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984212"/>
    <w:pPr>
      <w:spacing w:after="240" w:line="264" w:lineRule="auto"/>
    </w:pPr>
    <w:rPr>
      <w:rFonts w:ascii="Lucida Bright" w:eastAsia="Times New Roman" w:hAnsi="Lucida Bright"/>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984212"/>
    <w:pPr>
      <w:spacing w:after="240" w:line="264" w:lineRule="auto"/>
    </w:pPr>
    <w:rPr>
      <w:rFonts w:ascii="Lucida Bright" w:eastAsia="Times New Roman" w:hAnsi="Lucida Bright"/>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984212"/>
    <w:pPr>
      <w:spacing w:after="240" w:line="264" w:lineRule="auto"/>
    </w:pPr>
    <w:rPr>
      <w:rFonts w:ascii="Lucida Bright" w:eastAsia="Times New Roman" w:hAnsi="Lucida Bright"/>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984212"/>
    <w:pPr>
      <w:spacing w:after="240" w:line="264" w:lineRule="auto"/>
    </w:pPr>
    <w:rPr>
      <w:rFonts w:ascii="Lucida Bright" w:eastAsia="Times New Roman" w:hAnsi="Lucida Bright"/>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984212"/>
    <w:pPr>
      <w:spacing w:after="240" w:line="264" w:lineRule="auto"/>
    </w:pPr>
    <w:rPr>
      <w:rFonts w:ascii="Lucida Bright" w:eastAsia="Times New Roman" w:hAnsi="Lucida Bright"/>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984212"/>
    <w:pPr>
      <w:spacing w:after="240" w:line="264" w:lineRule="auto"/>
    </w:pPr>
    <w:rPr>
      <w:rFonts w:ascii="Lucida Bright" w:eastAsia="Times New Roman" w:hAnsi="Lucida Bright"/>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2">
    <w:name w:val="Table Colorful 32"/>
    <w:basedOn w:val="TableNormal"/>
    <w:next w:val="TableColorful3"/>
    <w:semiHidden/>
    <w:rsid w:val="00984212"/>
    <w:pPr>
      <w:spacing w:after="240" w:line="264" w:lineRule="auto"/>
    </w:pPr>
    <w:rPr>
      <w:rFonts w:ascii="Lucida Bright" w:eastAsia="Times New Roman" w:hAnsi="Lucida Bright"/>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984212"/>
    <w:pPr>
      <w:spacing w:after="240" w:line="264" w:lineRule="auto"/>
    </w:pPr>
    <w:rPr>
      <w:rFonts w:ascii="Lucida Bright" w:eastAsia="Times New Roman" w:hAnsi="Lucida Bright"/>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2">
    <w:name w:val="Table Columns 12"/>
    <w:basedOn w:val="TableNormal"/>
    <w:next w:val="TableColumns1"/>
    <w:semiHidden/>
    <w:rsid w:val="00984212"/>
    <w:pPr>
      <w:spacing w:after="240" w:line="264" w:lineRule="auto"/>
    </w:pPr>
    <w:rPr>
      <w:rFonts w:ascii="Lucida Bright" w:eastAsia="Times New Roman" w:hAnsi="Lucida Bright"/>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984212"/>
    <w:pPr>
      <w:spacing w:after="240" w:line="264" w:lineRule="auto"/>
    </w:pPr>
    <w:rPr>
      <w:rFonts w:ascii="Lucida Bright" w:eastAsia="Times New Roman" w:hAnsi="Lucida Bright"/>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984212"/>
    <w:pPr>
      <w:spacing w:after="240" w:line="264" w:lineRule="auto"/>
    </w:pPr>
    <w:rPr>
      <w:rFonts w:ascii="Lucida Bright" w:eastAsia="Times New Roman" w:hAnsi="Lucida Bright"/>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984212"/>
    <w:pPr>
      <w:spacing w:after="240" w:line="264" w:lineRule="auto"/>
    </w:pPr>
    <w:rPr>
      <w:rFonts w:ascii="Lucida Bright" w:eastAsia="Times New Roman" w:hAnsi="Lucida Bright"/>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984212"/>
    <w:pPr>
      <w:spacing w:after="240" w:line="264" w:lineRule="auto"/>
    </w:pPr>
    <w:rPr>
      <w:rFonts w:ascii="Lucida Bright" w:eastAsia="Times New Roman" w:hAnsi="Lucida Bright"/>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984212"/>
    <w:pPr>
      <w:spacing w:after="240" w:line="264" w:lineRule="auto"/>
    </w:pPr>
    <w:rPr>
      <w:rFonts w:ascii="Lucida Bright" w:eastAsia="Times New Roman" w:hAnsi="Lucida Bright"/>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2">
    <w:name w:val="Table Columns 42"/>
    <w:basedOn w:val="TableNormal"/>
    <w:next w:val="TableColumns4"/>
    <w:semiHidden/>
    <w:rsid w:val="00984212"/>
    <w:pPr>
      <w:spacing w:after="240" w:line="264" w:lineRule="auto"/>
    </w:pPr>
    <w:rPr>
      <w:rFonts w:ascii="Lucida Bright" w:eastAsia="Times New Roman" w:hAnsi="Lucida Bright"/>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984212"/>
    <w:pPr>
      <w:spacing w:after="240" w:line="264" w:lineRule="auto"/>
    </w:pPr>
    <w:rPr>
      <w:rFonts w:ascii="Lucida Bright" w:eastAsia="Times New Roman" w:hAnsi="Lucida Bright"/>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2">
    <w:name w:val="Table Columns 52"/>
    <w:basedOn w:val="TableNormal"/>
    <w:next w:val="TableColumns5"/>
    <w:semiHidden/>
    <w:rsid w:val="00984212"/>
    <w:pPr>
      <w:spacing w:after="240" w:line="264" w:lineRule="auto"/>
    </w:pPr>
    <w:rPr>
      <w:rFonts w:ascii="Lucida Bright" w:eastAsia="Times New Roman" w:hAnsi="Lucida Bright"/>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984212"/>
    <w:pPr>
      <w:spacing w:after="240" w:line="264" w:lineRule="auto"/>
    </w:pPr>
    <w:rPr>
      <w:rFonts w:ascii="Lucida Bright" w:eastAsia="Times New Roman" w:hAnsi="Lucida Bright"/>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2">
    <w:name w:val="Table Contemporary2"/>
    <w:basedOn w:val="TableNormal"/>
    <w:next w:val="TableContemporary"/>
    <w:semiHidden/>
    <w:rsid w:val="00984212"/>
    <w:pPr>
      <w:spacing w:after="240" w:line="264" w:lineRule="auto"/>
    </w:pPr>
    <w:rPr>
      <w:rFonts w:ascii="Lucida Bright" w:eastAsia="Times New Roman" w:hAnsi="Lucida Bright"/>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984212"/>
    <w:pPr>
      <w:spacing w:after="240" w:line="264" w:lineRule="auto"/>
    </w:pPr>
    <w:rPr>
      <w:rFonts w:ascii="Lucida Bright" w:eastAsia="Times New Roman" w:hAnsi="Lucida Bright"/>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semiHidden/>
    <w:rsid w:val="00984212"/>
    <w:pPr>
      <w:spacing w:after="240" w:line="264" w:lineRule="auto"/>
    </w:pPr>
    <w:rPr>
      <w:rFonts w:ascii="Lucida Bright" w:eastAsia="Times New Roman" w:hAnsi="Lucida Bright"/>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984212"/>
    <w:pPr>
      <w:spacing w:after="240" w:line="264" w:lineRule="auto"/>
    </w:pPr>
    <w:rPr>
      <w:rFonts w:ascii="Lucida Bright" w:eastAsia="Times New Roman" w:hAnsi="Lucida Bright"/>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rsid w:val="00984212"/>
    <w:pPr>
      <w:spacing w:after="240" w:line="264" w:lineRule="auto"/>
    </w:pPr>
    <w:rPr>
      <w:rFonts w:ascii="Lucida Bright" w:eastAsia="Times New Roman" w:hAnsi="Lucida Bright"/>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984212"/>
    <w:pPr>
      <w:spacing w:after="240" w:line="264" w:lineRule="auto"/>
    </w:pPr>
    <w:rPr>
      <w:rFonts w:ascii="Lucida Bright" w:eastAsia="Times New Roman" w:hAnsi="Lucida Bright"/>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984212"/>
    <w:pPr>
      <w:spacing w:after="240" w:line="264" w:lineRule="auto"/>
    </w:pPr>
    <w:rPr>
      <w:rFonts w:ascii="Lucida Bright" w:eastAsia="Times New Roman" w:hAnsi="Lucida Bright"/>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984212"/>
    <w:pPr>
      <w:spacing w:after="240" w:line="264" w:lineRule="auto"/>
    </w:pPr>
    <w:rPr>
      <w:rFonts w:ascii="Lucida Bright" w:eastAsia="Times New Roman" w:hAnsi="Lucida Bright"/>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984212"/>
    <w:pPr>
      <w:spacing w:after="240" w:line="264" w:lineRule="auto"/>
    </w:pPr>
    <w:rPr>
      <w:rFonts w:ascii="Lucida Bright" w:eastAsia="Times New Roman" w:hAnsi="Lucida Bright"/>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984212"/>
    <w:pPr>
      <w:spacing w:after="240" w:line="264" w:lineRule="auto"/>
    </w:pPr>
    <w:rPr>
      <w:rFonts w:ascii="Lucida Bright" w:eastAsia="Times New Roman" w:hAnsi="Lucida Bright"/>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984212"/>
    <w:pPr>
      <w:spacing w:after="240" w:line="264" w:lineRule="auto"/>
    </w:pPr>
    <w:rPr>
      <w:rFonts w:ascii="Lucida Bright" w:eastAsia="Times New Roman" w:hAnsi="Lucida Bright"/>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984212"/>
    <w:pPr>
      <w:spacing w:after="240" w:line="264" w:lineRule="auto"/>
    </w:pPr>
    <w:rPr>
      <w:rFonts w:ascii="Lucida Bright" w:eastAsia="Times New Roman" w:hAnsi="Lucida Bright"/>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2">
    <w:name w:val="Table Grid 52"/>
    <w:basedOn w:val="TableNormal"/>
    <w:next w:val="TableGrid5"/>
    <w:semiHidden/>
    <w:rsid w:val="00984212"/>
    <w:pPr>
      <w:spacing w:after="240" w:line="264" w:lineRule="auto"/>
    </w:pPr>
    <w:rPr>
      <w:rFonts w:ascii="Lucida Bright" w:eastAsia="Times New Roman" w:hAnsi="Lucida Bright"/>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984212"/>
    <w:pPr>
      <w:spacing w:after="240" w:line="264" w:lineRule="auto"/>
    </w:pPr>
    <w:rPr>
      <w:rFonts w:ascii="Lucida Bright" w:eastAsia="Times New Roman" w:hAnsi="Lucida Bright"/>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984212"/>
    <w:pPr>
      <w:spacing w:after="240" w:line="264" w:lineRule="auto"/>
    </w:pPr>
    <w:rPr>
      <w:rFonts w:ascii="Lucida Bright" w:eastAsia="Times New Roman" w:hAnsi="Lucida Bright"/>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984212"/>
    <w:pPr>
      <w:spacing w:after="240" w:line="264" w:lineRule="auto"/>
    </w:pPr>
    <w:rPr>
      <w:rFonts w:ascii="Lucida Bright" w:eastAsia="Times New Roman" w:hAnsi="Lucida Bright"/>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984212"/>
    <w:pPr>
      <w:spacing w:after="240" w:line="264" w:lineRule="auto"/>
    </w:pPr>
    <w:rPr>
      <w:rFonts w:ascii="Lucida Bright" w:eastAsia="Times New Roman" w:hAnsi="Lucida Bright"/>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984212"/>
    <w:pPr>
      <w:spacing w:after="240" w:line="264" w:lineRule="auto"/>
    </w:pPr>
    <w:rPr>
      <w:rFonts w:ascii="Lucida Bright" w:eastAsia="Times New Roman" w:hAnsi="Lucida Bright"/>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semiHidden/>
    <w:rsid w:val="00984212"/>
    <w:pPr>
      <w:spacing w:after="240" w:line="264" w:lineRule="auto"/>
    </w:pPr>
    <w:rPr>
      <w:rFonts w:ascii="Lucida Bright" w:eastAsia="Times New Roman" w:hAnsi="Lucida Bright"/>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984212"/>
    <w:pPr>
      <w:spacing w:after="240" w:line="264" w:lineRule="auto"/>
    </w:pPr>
    <w:rPr>
      <w:rFonts w:ascii="Lucida Bright" w:eastAsia="Times New Roman" w:hAnsi="Lucida Brigh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984212"/>
    <w:pPr>
      <w:spacing w:after="240" w:line="264" w:lineRule="auto"/>
    </w:pPr>
    <w:rPr>
      <w:rFonts w:ascii="Lucida Bright" w:eastAsia="Times New Roman" w:hAnsi="Lucida Brigh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Paragraph"/>
    <w:next w:val="TableParagraph"/>
    <w:uiPriority w:val="99"/>
    <w:semiHidden/>
    <w:rsid w:val="00984212"/>
    <w:pPr>
      <w:spacing w:after="60"/>
    </w:pPr>
    <w:rPr>
      <w:b/>
    </w:rPr>
  </w:style>
  <w:style w:type="paragraph" w:customStyle="1" w:styleId="TableText">
    <w:name w:val="Table Text"/>
    <w:basedOn w:val="BodyText"/>
    <w:uiPriority w:val="99"/>
    <w:rsid w:val="00984212"/>
    <w:pPr>
      <w:spacing w:before="60" w:after="60" w:line="264" w:lineRule="auto"/>
    </w:pPr>
    <w:rPr>
      <w:rFonts w:ascii="Verdana" w:eastAsia="Times New Roman" w:hAnsi="Verdana"/>
      <w:szCs w:val="22"/>
    </w:rPr>
  </w:style>
  <w:style w:type="paragraph" w:customStyle="1" w:styleId="TableHeaderRow">
    <w:name w:val="Table Header Row"/>
    <w:basedOn w:val="TableText"/>
    <w:uiPriority w:val="99"/>
    <w:qFormat/>
    <w:rsid w:val="00984212"/>
    <w:rPr>
      <w:b/>
    </w:rPr>
  </w:style>
  <w:style w:type="paragraph" w:customStyle="1" w:styleId="TableInternalCellHeader">
    <w:name w:val="Table Internal Cell Header"/>
    <w:basedOn w:val="TableText"/>
    <w:next w:val="TableText"/>
    <w:uiPriority w:val="99"/>
    <w:rsid w:val="00984212"/>
    <w:pPr>
      <w:spacing w:before="120"/>
    </w:pPr>
    <w:rPr>
      <w:b/>
      <w:bCs/>
    </w:rPr>
  </w:style>
  <w:style w:type="table" w:customStyle="1" w:styleId="TableList11">
    <w:name w:val="Table List 11"/>
    <w:basedOn w:val="TableNormal"/>
    <w:next w:val="TableList1"/>
    <w:semiHidden/>
    <w:rsid w:val="00984212"/>
    <w:pPr>
      <w:spacing w:after="240" w:line="264" w:lineRule="auto"/>
    </w:pPr>
    <w:rPr>
      <w:rFonts w:ascii="Lucida Bright" w:eastAsia="Times New Roman" w:hAnsi="Lucida Bright"/>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984212"/>
    <w:pPr>
      <w:spacing w:after="240" w:line="264" w:lineRule="auto"/>
    </w:pPr>
    <w:rPr>
      <w:rFonts w:ascii="Lucida Bright" w:eastAsia="Times New Roman" w:hAnsi="Lucida Bright"/>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984212"/>
    <w:pPr>
      <w:spacing w:after="240" w:line="264" w:lineRule="auto"/>
    </w:pPr>
    <w:rPr>
      <w:rFonts w:ascii="Lucida Bright" w:eastAsia="Times New Roman" w:hAnsi="Lucida Bright"/>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984212"/>
    <w:pPr>
      <w:spacing w:after="240" w:line="264" w:lineRule="auto"/>
    </w:pPr>
    <w:rPr>
      <w:rFonts w:ascii="Lucida Bright" w:eastAsia="Times New Roman" w:hAnsi="Lucida Bright"/>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984212"/>
    <w:pPr>
      <w:spacing w:after="240" w:line="264" w:lineRule="auto"/>
    </w:pPr>
    <w:rPr>
      <w:rFonts w:ascii="Lucida Bright" w:eastAsia="Times New Roman" w:hAnsi="Lucida Bright"/>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984212"/>
    <w:pPr>
      <w:spacing w:after="240" w:line="264" w:lineRule="auto"/>
    </w:pPr>
    <w:rPr>
      <w:rFonts w:ascii="Lucida Bright" w:eastAsia="Times New Roman" w:hAnsi="Lucida Bright"/>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984212"/>
    <w:pPr>
      <w:spacing w:after="240" w:line="264" w:lineRule="auto"/>
    </w:pPr>
    <w:rPr>
      <w:rFonts w:ascii="Lucida Bright" w:eastAsia="Times New Roman" w:hAnsi="Lucida Bright"/>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2">
    <w:name w:val="Table List 42"/>
    <w:basedOn w:val="TableNormal"/>
    <w:next w:val="TableList4"/>
    <w:semiHidden/>
    <w:rsid w:val="00984212"/>
    <w:pPr>
      <w:spacing w:after="240" w:line="264" w:lineRule="auto"/>
    </w:pPr>
    <w:rPr>
      <w:rFonts w:ascii="Lucida Bright" w:eastAsia="Times New Roman" w:hAnsi="Lucida Bright"/>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984212"/>
    <w:pPr>
      <w:spacing w:after="240" w:line="264" w:lineRule="auto"/>
    </w:pPr>
    <w:rPr>
      <w:rFonts w:ascii="Lucida Bright" w:eastAsia="Times New Roman" w:hAnsi="Lucida Bright"/>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2">
    <w:name w:val="Table List 52"/>
    <w:basedOn w:val="TableNormal"/>
    <w:next w:val="TableList5"/>
    <w:semiHidden/>
    <w:rsid w:val="00984212"/>
    <w:pPr>
      <w:spacing w:after="240" w:line="264" w:lineRule="auto"/>
    </w:pPr>
    <w:rPr>
      <w:rFonts w:ascii="Lucida Bright" w:eastAsia="Times New Roman" w:hAnsi="Lucida Bright"/>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984212"/>
    <w:pPr>
      <w:spacing w:after="240" w:line="264" w:lineRule="auto"/>
    </w:pPr>
    <w:rPr>
      <w:rFonts w:ascii="Lucida Bright" w:eastAsia="Times New Roman" w:hAnsi="Lucida Bright"/>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2">
    <w:name w:val="Table List 62"/>
    <w:basedOn w:val="TableNormal"/>
    <w:next w:val="TableList6"/>
    <w:semiHidden/>
    <w:rsid w:val="00984212"/>
    <w:pPr>
      <w:spacing w:after="240" w:line="264" w:lineRule="auto"/>
    </w:pPr>
    <w:rPr>
      <w:rFonts w:ascii="Lucida Bright" w:eastAsia="Times New Roman" w:hAnsi="Lucida Bright"/>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984212"/>
    <w:pPr>
      <w:spacing w:after="240" w:line="264" w:lineRule="auto"/>
    </w:pPr>
    <w:rPr>
      <w:rFonts w:ascii="Lucida Bright" w:eastAsia="Times New Roman" w:hAnsi="Lucida Bright"/>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2">
    <w:name w:val="Table List 72"/>
    <w:basedOn w:val="TableNormal"/>
    <w:next w:val="TableList7"/>
    <w:semiHidden/>
    <w:rsid w:val="00984212"/>
    <w:pPr>
      <w:spacing w:after="240" w:line="264" w:lineRule="auto"/>
    </w:pPr>
    <w:rPr>
      <w:rFonts w:ascii="Lucida Bright" w:eastAsia="Times New Roman" w:hAnsi="Lucida Bright"/>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984212"/>
    <w:pPr>
      <w:spacing w:after="240" w:line="264" w:lineRule="auto"/>
    </w:pPr>
    <w:rPr>
      <w:rFonts w:ascii="Lucida Bright" w:eastAsia="Times New Roman" w:hAnsi="Lucida Bright"/>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2">
    <w:name w:val="Table List 82"/>
    <w:basedOn w:val="TableNormal"/>
    <w:next w:val="TableList8"/>
    <w:semiHidden/>
    <w:rsid w:val="00984212"/>
    <w:pPr>
      <w:spacing w:after="240" w:line="264" w:lineRule="auto"/>
    </w:pPr>
    <w:rPr>
      <w:rFonts w:ascii="Lucida Bright" w:eastAsia="Times New Roman" w:hAnsi="Lucida Bright"/>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Paragraph-multiple-grafs">
    <w:name w:val="Table Paragraph-multiple-grafs"/>
    <w:basedOn w:val="TableText"/>
    <w:uiPriority w:val="99"/>
    <w:rsid w:val="00984212"/>
    <w:pPr>
      <w:spacing w:after="180"/>
    </w:pPr>
  </w:style>
  <w:style w:type="table" w:customStyle="1" w:styleId="TableProfessional1">
    <w:name w:val="Table Professional1"/>
    <w:basedOn w:val="TableNormal"/>
    <w:next w:val="TableProfessional"/>
    <w:semiHidden/>
    <w:rsid w:val="00984212"/>
    <w:pPr>
      <w:spacing w:after="240" w:line="264" w:lineRule="auto"/>
    </w:pPr>
    <w:rPr>
      <w:rFonts w:ascii="Lucida Bright" w:eastAsia="Times New Roman" w:hAnsi="Lucida Bright"/>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2">
    <w:name w:val="Table Professional2"/>
    <w:basedOn w:val="TableNormal"/>
    <w:next w:val="TableProfessional"/>
    <w:semiHidden/>
    <w:rsid w:val="00984212"/>
    <w:pPr>
      <w:spacing w:after="240" w:line="264" w:lineRule="auto"/>
    </w:pPr>
    <w:rPr>
      <w:rFonts w:ascii="Lucida Bright" w:eastAsia="Times New Roman" w:hAnsi="Lucida Bright"/>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984212"/>
    <w:pPr>
      <w:spacing w:after="240" w:line="264" w:lineRule="auto"/>
    </w:pPr>
    <w:rPr>
      <w:rFonts w:ascii="Lucida Bright" w:eastAsia="Times New Roman" w:hAnsi="Lucida Bright"/>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2">
    <w:name w:val="Table Simple 12"/>
    <w:basedOn w:val="TableNormal"/>
    <w:next w:val="TableSimple1"/>
    <w:semiHidden/>
    <w:rsid w:val="00984212"/>
    <w:pPr>
      <w:spacing w:after="240" w:line="264" w:lineRule="auto"/>
    </w:pPr>
    <w:rPr>
      <w:rFonts w:ascii="Lucida Bright" w:eastAsia="Times New Roman" w:hAnsi="Lucida Bright"/>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984212"/>
    <w:pPr>
      <w:spacing w:after="240" w:line="264" w:lineRule="auto"/>
    </w:pPr>
    <w:rPr>
      <w:rFonts w:ascii="Lucida Bright" w:eastAsia="Times New Roman" w:hAnsi="Lucida Bright"/>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2">
    <w:name w:val="Table Simple 22"/>
    <w:basedOn w:val="TableNormal"/>
    <w:next w:val="TableSimple2"/>
    <w:semiHidden/>
    <w:rsid w:val="00984212"/>
    <w:pPr>
      <w:spacing w:after="240" w:line="264" w:lineRule="auto"/>
    </w:pPr>
    <w:rPr>
      <w:rFonts w:ascii="Lucida Bright" w:eastAsia="Times New Roman" w:hAnsi="Lucida Bright"/>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984212"/>
    <w:pPr>
      <w:spacing w:after="240" w:line="264" w:lineRule="auto"/>
    </w:pPr>
    <w:rPr>
      <w:rFonts w:ascii="Lucida Bright" w:eastAsia="Times New Roman" w:hAnsi="Lucida Bright"/>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2">
    <w:name w:val="Table Simple 32"/>
    <w:basedOn w:val="TableNormal"/>
    <w:next w:val="TableSimple3"/>
    <w:semiHidden/>
    <w:rsid w:val="00984212"/>
    <w:pPr>
      <w:spacing w:after="240" w:line="264" w:lineRule="auto"/>
    </w:pPr>
    <w:rPr>
      <w:rFonts w:ascii="Lucida Bright" w:eastAsia="Times New Roman" w:hAnsi="Lucida Bright"/>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984212"/>
    <w:pPr>
      <w:spacing w:after="240" w:line="264" w:lineRule="auto"/>
    </w:pPr>
    <w:rPr>
      <w:rFonts w:ascii="Lucida Bright" w:eastAsia="Times New Roman" w:hAnsi="Lucida Bright"/>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
    <w:name w:val="Table Subtle 12"/>
    <w:basedOn w:val="TableNormal"/>
    <w:next w:val="TableSubtle1"/>
    <w:semiHidden/>
    <w:rsid w:val="00984212"/>
    <w:pPr>
      <w:spacing w:after="240" w:line="264" w:lineRule="auto"/>
    </w:pPr>
    <w:rPr>
      <w:rFonts w:ascii="Lucida Bright" w:eastAsia="Times New Roman" w:hAnsi="Lucida Bright"/>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984212"/>
    <w:pPr>
      <w:spacing w:after="240" w:line="264" w:lineRule="auto"/>
    </w:pPr>
    <w:rPr>
      <w:rFonts w:ascii="Lucida Bright" w:eastAsia="Times New Roman" w:hAnsi="Lucida Bright"/>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984212"/>
    <w:pPr>
      <w:spacing w:after="240" w:line="264" w:lineRule="auto"/>
    </w:pPr>
    <w:rPr>
      <w:rFonts w:ascii="Lucida Bright" w:eastAsia="Times New Roman" w:hAnsi="Lucida Bright"/>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abs">
    <w:name w:val="Table Tabs"/>
    <w:basedOn w:val="Normal"/>
    <w:uiPriority w:val="99"/>
    <w:semiHidden/>
    <w:rsid w:val="00984212"/>
    <w:pPr>
      <w:pBdr>
        <w:top w:val="single" w:sz="4" w:space="1" w:color="auto"/>
        <w:left w:val="single" w:sz="4" w:space="4" w:color="auto"/>
        <w:right w:val="single" w:sz="4" w:space="4" w:color="auto"/>
      </w:pBdr>
      <w:spacing w:after="120"/>
      <w:jc w:val="center"/>
    </w:pPr>
    <w:rPr>
      <w:rFonts w:eastAsia="Times New Roman"/>
      <w:b/>
    </w:rPr>
  </w:style>
  <w:style w:type="character" w:customStyle="1" w:styleId="TableTabsBox">
    <w:name w:val="Table Tabs Box"/>
    <w:uiPriority w:val="1"/>
    <w:semiHidden/>
    <w:rsid w:val="00984212"/>
    <w:rPr>
      <w:bdr w:val="none" w:sz="0" w:space="0" w:color="auto"/>
      <w:shd w:val="clear" w:color="auto" w:fill="auto"/>
    </w:rPr>
  </w:style>
  <w:style w:type="table" w:customStyle="1" w:styleId="TableTheme1">
    <w:name w:val="Table Theme1"/>
    <w:basedOn w:val="TableNormal"/>
    <w:next w:val="TableTheme"/>
    <w:semiHidden/>
    <w:rsid w:val="00984212"/>
    <w:pPr>
      <w:spacing w:after="240" w:line="264" w:lineRule="auto"/>
    </w:pPr>
    <w:rPr>
      <w:rFonts w:ascii="Lucida Bright" w:eastAsia="Times New Roman" w:hAnsi="Lucida Brigh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semiHidden/>
    <w:rsid w:val="00984212"/>
    <w:pPr>
      <w:spacing w:after="240" w:line="264" w:lineRule="auto"/>
    </w:pPr>
    <w:rPr>
      <w:rFonts w:ascii="Lucida Bright" w:eastAsia="Times New Roman" w:hAnsi="Lucida Brigh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984212"/>
    <w:pPr>
      <w:spacing w:after="240" w:line="264" w:lineRule="auto"/>
    </w:pPr>
    <w:rPr>
      <w:rFonts w:ascii="Lucida Bright" w:eastAsia="Times New Roman" w:hAnsi="Lucida Bright"/>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
    <w:name w:val="Table Web 12"/>
    <w:basedOn w:val="TableNormal"/>
    <w:next w:val="TableWeb1"/>
    <w:semiHidden/>
    <w:rsid w:val="00984212"/>
    <w:pPr>
      <w:spacing w:after="240" w:line="264" w:lineRule="auto"/>
    </w:pPr>
    <w:rPr>
      <w:rFonts w:ascii="Lucida Bright" w:eastAsia="Times New Roman" w:hAnsi="Lucida Bright"/>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984212"/>
    <w:pPr>
      <w:spacing w:after="240" w:line="264" w:lineRule="auto"/>
    </w:pPr>
    <w:rPr>
      <w:rFonts w:ascii="Lucida Bright" w:eastAsia="Times New Roman" w:hAnsi="Lucida Bright"/>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984212"/>
    <w:pPr>
      <w:spacing w:after="240" w:line="264" w:lineRule="auto"/>
    </w:pPr>
    <w:rPr>
      <w:rFonts w:ascii="Lucida Bright" w:eastAsia="Times New Roman" w:hAnsi="Lucida Bright"/>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984212"/>
    <w:pPr>
      <w:spacing w:after="240" w:line="264" w:lineRule="auto"/>
    </w:pPr>
    <w:rPr>
      <w:rFonts w:ascii="Lucida Bright" w:eastAsia="Times New Roman" w:hAnsi="Lucida Bright"/>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984212"/>
    <w:pPr>
      <w:spacing w:after="240" w:line="264" w:lineRule="auto"/>
    </w:pPr>
    <w:rPr>
      <w:rFonts w:ascii="Lucida Bright" w:eastAsia="Times New Roman" w:hAnsi="Lucida Bright"/>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Web2"/>
    <w:next w:val="TableWeb3"/>
    <w:semiHidden/>
    <w:rsid w:val="00984212"/>
    <w:pPr>
      <w:spacing w:before="0" w:after="0" w:line="264" w:lineRule="auto"/>
    </w:pPr>
    <w:rPr>
      <w:rFonts w:ascii="Arial" w:hAnsi="Arial"/>
      <w:sz w:val="18"/>
      <w:szCs w:val="22"/>
    </w:rPr>
    <w:tblPr>
      <w:tblInd w:w="57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i/>
        <w:iCs/>
        <w:color w:val="auto"/>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CEQTable-Verdana">
    <w:name w:val="TCEQ Table - Verdana"/>
    <w:basedOn w:val="TableNormal"/>
    <w:uiPriority w:val="99"/>
    <w:rsid w:val="00984212"/>
    <w:pPr>
      <w:spacing w:before="0" w:after="0" w:line="288" w:lineRule="auto"/>
    </w:pPr>
    <w:rPr>
      <w:rFonts w:ascii="Verdana" w:hAnsi="Verdana"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984212"/>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Arial1">
    <w:name w:val="TCEQ Table - Arial1"/>
    <w:basedOn w:val="TCEQTable-Verdana"/>
    <w:uiPriority w:val="99"/>
    <w:rsid w:val="00984212"/>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Arial2">
    <w:name w:val="TCEQ Table - Arial2"/>
    <w:basedOn w:val="TCEQTable-Verdana"/>
    <w:uiPriority w:val="99"/>
    <w:rsid w:val="00984212"/>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984212"/>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Calibri1">
    <w:name w:val="TCEQ Table - Calibri1"/>
    <w:basedOn w:val="TCEQTable-Verdana"/>
    <w:uiPriority w:val="99"/>
    <w:rsid w:val="00984212"/>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Calibri2">
    <w:name w:val="TCEQ Table - Calibri2"/>
    <w:basedOn w:val="TCEQTable-Verdana"/>
    <w:uiPriority w:val="99"/>
    <w:rsid w:val="00984212"/>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984212"/>
    <w:rPr>
      <w:rFonts w:ascii="Tahoma" w:hAnsi="Tahoma"/>
    </w:rPr>
    <w:tblPr/>
    <w:tblStylePr w:type="firstRow">
      <w:pPr>
        <w:wordWrap/>
        <w:jc w:val="center"/>
      </w:pPr>
      <w:rPr>
        <w:b/>
      </w:rPr>
      <w:tblPr/>
      <w:tcPr>
        <w:shd w:val="clear" w:color="auto" w:fill="F2F2F2" w:themeFill="background1" w:themeFillShade="F2"/>
      </w:tcPr>
    </w:tblStylePr>
  </w:style>
  <w:style w:type="table" w:customStyle="1" w:styleId="TCEQTable-Tahoma1">
    <w:name w:val="TCEQ Table - Tahoma1"/>
    <w:basedOn w:val="TCEQTable-Verdana"/>
    <w:uiPriority w:val="99"/>
    <w:rsid w:val="00984212"/>
    <w:rPr>
      <w:rFonts w:ascii="Tahoma" w:hAnsi="Tahoma"/>
    </w:rPr>
    <w:tblPr/>
    <w:tblStylePr w:type="firstRow">
      <w:pPr>
        <w:wordWrap/>
        <w:jc w:val="center"/>
      </w:pPr>
      <w:rPr>
        <w:b/>
      </w:rPr>
      <w:tblPr/>
      <w:tcPr>
        <w:shd w:val="clear" w:color="auto" w:fill="F2F2F2" w:themeFill="background1" w:themeFillShade="F2"/>
      </w:tcPr>
    </w:tblStylePr>
  </w:style>
  <w:style w:type="table" w:customStyle="1" w:styleId="TCEQTable-Tahoma2">
    <w:name w:val="TCEQ Table - Tahoma2"/>
    <w:basedOn w:val="TCEQTable-Verdana"/>
    <w:uiPriority w:val="99"/>
    <w:rsid w:val="00984212"/>
    <w:rPr>
      <w:rFonts w:ascii="Tahoma" w:hAnsi="Tahoma"/>
    </w:rPr>
    <w:tblPr/>
    <w:tblStylePr w:type="firstRow">
      <w:pPr>
        <w:wordWrap/>
        <w:jc w:val="center"/>
      </w:pPr>
      <w:rPr>
        <w:b/>
      </w:rPr>
      <w:tblPr/>
      <w:tcPr>
        <w:shd w:val="clear" w:color="auto" w:fill="F2F2F2" w:themeFill="background1" w:themeFillShade="F2"/>
      </w:tcPr>
    </w:tblStylePr>
  </w:style>
  <w:style w:type="table" w:customStyle="1" w:styleId="TCEQTable-Verdana1">
    <w:name w:val="TCEQ Table - Verdana1"/>
    <w:basedOn w:val="TableNormal"/>
    <w:uiPriority w:val="99"/>
    <w:rsid w:val="00984212"/>
    <w:pPr>
      <w:spacing w:before="0" w:after="0" w:line="288" w:lineRule="auto"/>
    </w:pPr>
    <w:rPr>
      <w:rFonts w:ascii="Verdana" w:hAnsi="Verdana"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Verdana2">
    <w:name w:val="TCEQ Table - Verdana2"/>
    <w:basedOn w:val="TableNormal"/>
    <w:uiPriority w:val="99"/>
    <w:rsid w:val="00984212"/>
    <w:pPr>
      <w:spacing w:before="0" w:after="0" w:line="288" w:lineRule="auto"/>
    </w:pPr>
    <w:rPr>
      <w:rFonts w:ascii="Verdana" w:hAnsi="Verdana"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paragraph" w:customStyle="1" w:styleId="TitlePageInfo-preparedby">
    <w:name w:val="Title Page Info - prepared by"/>
    <w:basedOn w:val="BodyText"/>
    <w:uiPriority w:val="99"/>
    <w:semiHidden/>
    <w:rsid w:val="00984212"/>
    <w:pPr>
      <w:spacing w:before="1800" w:after="0" w:line="264" w:lineRule="auto"/>
      <w:contextualSpacing/>
    </w:pPr>
    <w:rPr>
      <w:sz w:val="22"/>
      <w:szCs w:val="22"/>
    </w:rPr>
  </w:style>
  <w:style w:type="paragraph" w:customStyle="1" w:styleId="TitlePageInfo-bottom">
    <w:name w:val="Title Page Info - bottom"/>
    <w:basedOn w:val="TitlePageInfo-preparedby"/>
    <w:uiPriority w:val="99"/>
    <w:semiHidden/>
    <w:rsid w:val="00984212"/>
    <w:pPr>
      <w:spacing w:before="2880"/>
    </w:pPr>
  </w:style>
  <w:style w:type="paragraph" w:customStyle="1" w:styleId="TOC1-Inthischapter">
    <w:name w:val="TOC 1 - In this chapter"/>
    <w:basedOn w:val="TOC1"/>
    <w:next w:val="TOC2"/>
    <w:uiPriority w:val="99"/>
    <w:rsid w:val="00984212"/>
    <w:pPr>
      <w:keepNext/>
      <w:tabs>
        <w:tab w:val="clear" w:pos="9360"/>
        <w:tab w:val="left" w:pos="475"/>
        <w:tab w:val="right" w:leader="dot" w:pos="9346"/>
      </w:tabs>
      <w:spacing w:before="200" w:after="0"/>
      <w:ind w:hanging="540"/>
    </w:pPr>
    <w:rPr>
      <w:b/>
      <w:sz w:val="22"/>
      <w:szCs w:val="22"/>
      <w:lang w:eastAsia="ja-JP"/>
    </w:rPr>
  </w:style>
  <w:style w:type="paragraph" w:customStyle="1" w:styleId="TOCHeadingInThisChapter">
    <w:name w:val="TOC Heading | In This Chapter"/>
    <w:basedOn w:val="TOCHeading"/>
    <w:next w:val="TOC1"/>
    <w:autoRedefine/>
    <w:uiPriority w:val="99"/>
    <w:rsid w:val="00984212"/>
    <w:pPr>
      <w:keepNext w:val="0"/>
      <w:keepLines w:val="0"/>
      <w:spacing w:after="120" w:line="240" w:lineRule="auto"/>
    </w:pPr>
    <w:rPr>
      <w:rFonts w:ascii="Lucida Bright" w:eastAsiaTheme="minorHAnsi" w:hAnsi="Lucida Bright" w:cstheme="minorBidi"/>
      <w:b/>
      <w:sz w:val="26"/>
      <w:szCs w:val="28"/>
      <w:lang w:eastAsia="ja-JP"/>
    </w:rPr>
  </w:style>
  <w:style w:type="character" w:styleId="UnresolvedMention">
    <w:name w:val="Unresolved Mention"/>
    <w:basedOn w:val="DefaultParagraphFont"/>
    <w:uiPriority w:val="99"/>
    <w:semiHidden/>
    <w:rsid w:val="00984212"/>
    <w:rPr>
      <w:color w:val="808080"/>
      <w:shd w:val="clear" w:color="auto" w:fill="E6E6E6"/>
    </w:rPr>
  </w:style>
  <w:style w:type="paragraph" w:customStyle="1" w:styleId="xl64">
    <w:name w:val="xl64"/>
    <w:basedOn w:val="Normal"/>
    <w:semiHidden/>
    <w:rsid w:val="00984212"/>
    <w:pPr>
      <w:spacing w:before="100" w:beforeAutospacing="1" w:after="100" w:afterAutospacing="1"/>
      <w:jc w:val="center"/>
      <w:textAlignment w:val="center"/>
    </w:pPr>
    <w:rPr>
      <w:rFonts w:ascii="Times New Roman" w:eastAsia="Times New Roman" w:hAnsi="Times New Roman"/>
      <w:b/>
      <w:bCs/>
    </w:rPr>
  </w:style>
  <w:style w:type="paragraph" w:customStyle="1" w:styleId="xl65">
    <w:name w:val="xl65"/>
    <w:basedOn w:val="Normal"/>
    <w:semiHidden/>
    <w:rsid w:val="00984212"/>
    <w:pPr>
      <w:spacing w:before="100" w:beforeAutospacing="1" w:after="100" w:afterAutospacing="1"/>
    </w:pPr>
    <w:rPr>
      <w:rFonts w:ascii="Times New Roman" w:eastAsia="Times New Roman" w:hAnsi="Times New Roman"/>
    </w:rPr>
  </w:style>
  <w:style w:type="paragraph" w:customStyle="1" w:styleId="xl66">
    <w:name w:val="xl66"/>
    <w:basedOn w:val="Normal"/>
    <w:semiHidden/>
    <w:rsid w:val="00984212"/>
    <w:pPr>
      <w:spacing w:before="100" w:beforeAutospacing="1" w:after="100" w:afterAutospacing="1"/>
    </w:pPr>
    <w:rPr>
      <w:rFonts w:ascii="Times New Roman" w:eastAsia="Times New Roman" w:hAnsi="Times New Roman"/>
    </w:rPr>
  </w:style>
  <w:style w:type="paragraph" w:customStyle="1" w:styleId="xl67">
    <w:name w:val="xl67"/>
    <w:basedOn w:val="Normal"/>
    <w:semiHidden/>
    <w:rsid w:val="00984212"/>
    <w:pPr>
      <w:spacing w:before="100" w:beforeAutospacing="1" w:after="100" w:afterAutospacing="1"/>
      <w:jc w:val="center"/>
      <w:textAlignment w:val="center"/>
    </w:pPr>
    <w:rPr>
      <w:rFonts w:ascii="Times New Roman" w:eastAsia="Times New Roman" w:hAnsi="Times New Roman"/>
      <w:b/>
      <w:bCs/>
    </w:rPr>
  </w:style>
  <w:style w:type="paragraph" w:customStyle="1" w:styleId="xl68">
    <w:name w:val="xl68"/>
    <w:basedOn w:val="Normal"/>
    <w:semiHidden/>
    <w:rsid w:val="00984212"/>
    <w:pPr>
      <w:spacing w:before="100" w:beforeAutospacing="1" w:after="100" w:afterAutospacing="1"/>
      <w:jc w:val="center"/>
      <w:textAlignment w:val="center"/>
    </w:pPr>
    <w:rPr>
      <w:rFonts w:ascii="Times New Roman" w:eastAsia="Times New Roman" w:hAnsi="Times New Roman"/>
      <w:b/>
      <w:bCs/>
    </w:rPr>
  </w:style>
  <w:style w:type="paragraph" w:customStyle="1" w:styleId="xl69">
    <w:name w:val="xl69"/>
    <w:basedOn w:val="Normal"/>
    <w:semiHidden/>
    <w:rsid w:val="00984212"/>
    <w:pPr>
      <w:spacing w:before="100" w:beforeAutospacing="1" w:after="100" w:afterAutospacing="1"/>
      <w:jc w:val="center"/>
      <w:textAlignment w:val="bottom"/>
    </w:pPr>
    <w:rPr>
      <w:rFonts w:ascii="Times New Roman" w:eastAsia="Times New Roman" w:hAnsi="Times New Roman"/>
      <w:b/>
      <w:bCs/>
    </w:rPr>
  </w:style>
  <w:style w:type="paragraph" w:customStyle="1" w:styleId="xl70">
    <w:name w:val="xl70"/>
    <w:basedOn w:val="Normal"/>
    <w:semiHidden/>
    <w:rsid w:val="00984212"/>
    <w:pPr>
      <w:spacing w:before="100" w:beforeAutospacing="1" w:after="100" w:afterAutospacing="1"/>
      <w:textAlignment w:val="bottom"/>
    </w:pPr>
    <w:rPr>
      <w:rFonts w:ascii="Times New Roman" w:eastAsia="Times New Roman" w:hAnsi="Times New Roman"/>
    </w:rPr>
  </w:style>
  <w:style w:type="paragraph" w:customStyle="1" w:styleId="xl71">
    <w:name w:val="xl71"/>
    <w:basedOn w:val="Normal"/>
    <w:semiHidden/>
    <w:rsid w:val="00984212"/>
    <w:pPr>
      <w:spacing w:before="100" w:beforeAutospacing="1" w:after="100" w:afterAutospacing="1"/>
      <w:jc w:val="center"/>
      <w:textAlignment w:val="center"/>
    </w:pPr>
    <w:rPr>
      <w:rFonts w:ascii="Times New Roman" w:eastAsia="Times New Roman" w:hAnsi="Times New Roman"/>
    </w:rPr>
  </w:style>
  <w:style w:type="paragraph" w:customStyle="1" w:styleId="xl72">
    <w:name w:val="xl72"/>
    <w:basedOn w:val="Normal"/>
    <w:semiHidden/>
    <w:rsid w:val="00984212"/>
    <w:pPr>
      <w:spacing w:before="100" w:beforeAutospacing="1" w:after="100" w:afterAutospacing="1"/>
      <w:jc w:val="center"/>
      <w:textAlignment w:val="bottom"/>
    </w:pPr>
    <w:rPr>
      <w:rFonts w:ascii="Times New Roman" w:eastAsia="Times New Roman" w:hAnsi="Times New Roman"/>
    </w:rPr>
  </w:style>
  <w:style w:type="paragraph" w:customStyle="1" w:styleId="xl73">
    <w:name w:val="xl73"/>
    <w:basedOn w:val="Normal"/>
    <w:semiHidden/>
    <w:rsid w:val="00984212"/>
    <w:pPr>
      <w:spacing w:before="100" w:beforeAutospacing="1" w:after="100" w:afterAutospacing="1"/>
      <w:jc w:val="center"/>
    </w:pPr>
    <w:rPr>
      <w:rFonts w:ascii="Times New Roman" w:eastAsia="Times New Roman" w:hAnsi="Times New Roman"/>
    </w:rPr>
  </w:style>
  <w:style w:type="paragraph" w:customStyle="1" w:styleId="xl74">
    <w:name w:val="xl74"/>
    <w:basedOn w:val="Normal"/>
    <w:semiHidden/>
    <w:rsid w:val="00984212"/>
    <w:pPr>
      <w:spacing w:before="100" w:beforeAutospacing="1" w:after="100" w:afterAutospacing="1"/>
      <w:jc w:val="center"/>
      <w:textAlignment w:val="center"/>
    </w:pPr>
    <w:rPr>
      <w:rFonts w:ascii="Times New Roman" w:eastAsia="Times New Roman" w:hAnsi="Times New Roman"/>
      <w:b/>
      <w:bCs/>
    </w:rPr>
  </w:style>
  <w:style w:type="paragraph" w:customStyle="1" w:styleId="BodyTextafterTableorList">
    <w:name w:val="Body Text after Table or List"/>
    <w:basedOn w:val="BodyText"/>
    <w:next w:val="BodyText"/>
    <w:uiPriority w:val="99"/>
    <w:rsid w:val="00984212"/>
    <w:pPr>
      <w:spacing w:before="240" w:after="240" w:line="264" w:lineRule="auto"/>
    </w:pPr>
    <w:rPr>
      <w:sz w:val="22"/>
      <w:szCs w:val="22"/>
    </w:rPr>
  </w:style>
  <w:style w:type="paragraph" w:customStyle="1" w:styleId="SingleSpace">
    <w:name w:val="Single Space"/>
    <w:basedOn w:val="BodyTextSingle"/>
    <w:link w:val="SingleSpaceChar"/>
    <w:uiPriority w:val="99"/>
    <w:semiHidden/>
    <w:rsid w:val="00984212"/>
    <w:pPr>
      <w:spacing w:before="-1" w:after="240"/>
    </w:pPr>
    <w:rPr>
      <w:sz w:val="20"/>
    </w:rPr>
  </w:style>
  <w:style w:type="character" w:customStyle="1" w:styleId="BodyTextSingleChar">
    <w:name w:val="Body Text Single Char"/>
    <w:basedOn w:val="BodyTextChar"/>
    <w:link w:val="BodyTextSingle"/>
    <w:uiPriority w:val="99"/>
    <w:rsid w:val="00984212"/>
    <w:rPr>
      <w:rFonts w:ascii="Lucida Bright" w:hAnsi="Lucida Bright" w:cstheme="minorBidi"/>
      <w:sz w:val="22"/>
      <w:szCs w:val="22"/>
    </w:rPr>
  </w:style>
  <w:style w:type="character" w:customStyle="1" w:styleId="SingleSpaceChar">
    <w:name w:val="Single Space Char"/>
    <w:basedOn w:val="BodyTextSingleChar"/>
    <w:link w:val="SingleSpace"/>
    <w:uiPriority w:val="99"/>
    <w:semiHidden/>
    <w:rsid w:val="00984212"/>
    <w:rPr>
      <w:rFonts w:ascii="Lucida Bright" w:hAnsi="Lucida Bright" w:cstheme="minorBidi"/>
      <w:sz w:val="20"/>
      <w:szCs w:val="22"/>
    </w:rPr>
  </w:style>
  <w:style w:type="character" w:styleId="Mention">
    <w:name w:val="Mention"/>
    <w:basedOn w:val="DefaultParagraphFont"/>
    <w:uiPriority w:val="99"/>
    <w:semiHidden/>
    <w:rsid w:val="00984212"/>
    <w:rPr>
      <w:color w:val="2B579A"/>
      <w:shd w:val="clear" w:color="auto" w:fill="E1DFDD"/>
    </w:rPr>
  </w:style>
  <w:style w:type="paragraph" w:customStyle="1" w:styleId="BodyTextIndentStrong">
    <w:name w:val="Body Text Indent Strong"/>
    <w:basedOn w:val="BlockText"/>
    <w:next w:val="BodyText"/>
    <w:uiPriority w:val="99"/>
    <w:qFormat/>
    <w:rsid w:val="00984212"/>
    <w:pPr>
      <w:spacing w:after="240" w:line="264" w:lineRule="auto"/>
      <w:ind w:left="720" w:right="720"/>
    </w:pPr>
    <w:rPr>
      <w:b/>
      <w:sz w:val="22"/>
      <w:szCs w:val="22"/>
    </w:rPr>
  </w:style>
  <w:style w:type="paragraph" w:customStyle="1" w:styleId="Noteforfigureortable">
    <w:name w:val="Note for figure or table"/>
    <w:basedOn w:val="BodyText"/>
    <w:uiPriority w:val="99"/>
    <w:rsid w:val="00984212"/>
    <w:pPr>
      <w:spacing w:before="40" w:after="240" w:line="264" w:lineRule="auto"/>
      <w:ind w:left="288"/>
    </w:pPr>
    <w:rPr>
      <w:sz w:val="18"/>
      <w:szCs w:val="22"/>
    </w:rPr>
  </w:style>
  <w:style w:type="character" w:customStyle="1" w:styleId="normaltextrun">
    <w:name w:val="normaltextrun"/>
    <w:basedOn w:val="DefaultParagraphFont"/>
    <w:semiHidden/>
    <w:rsid w:val="00984212"/>
  </w:style>
  <w:style w:type="paragraph" w:customStyle="1" w:styleId="ExhibitHead1">
    <w:name w:val="Exhibit Head 1"/>
    <w:next w:val="BodyText"/>
    <w:uiPriority w:val="99"/>
    <w:rsid w:val="00984212"/>
    <w:pPr>
      <w:keepNext/>
      <w:widowControl w:val="0"/>
      <w:autoSpaceDE w:val="0"/>
      <w:autoSpaceDN w:val="0"/>
      <w:spacing w:before="240" w:after="120"/>
    </w:pPr>
    <w:rPr>
      <w:rFonts w:ascii="Verdana" w:eastAsiaTheme="majorEastAsia" w:hAnsi="Verdana" w:cstheme="majorBidi"/>
      <w:b/>
      <w:bCs/>
      <w:sz w:val="34"/>
      <w:szCs w:val="26"/>
    </w:rPr>
  </w:style>
  <w:style w:type="paragraph" w:customStyle="1" w:styleId="ExhibitHead2">
    <w:name w:val="Exhibit Head 2"/>
    <w:basedOn w:val="ExhibitHead1"/>
    <w:next w:val="BodyText"/>
    <w:uiPriority w:val="99"/>
    <w:rsid w:val="00984212"/>
    <w:rPr>
      <w:sz w:val="28"/>
    </w:rPr>
  </w:style>
  <w:style w:type="paragraph" w:customStyle="1" w:styleId="ExhibitHead3">
    <w:name w:val="Exhibit Head 3"/>
    <w:basedOn w:val="ExhibitHead2"/>
    <w:next w:val="BodyText"/>
    <w:uiPriority w:val="99"/>
    <w:rsid w:val="00984212"/>
    <w:rPr>
      <w:sz w:val="22"/>
    </w:rPr>
  </w:style>
  <w:style w:type="paragraph" w:customStyle="1" w:styleId="ExhibitHead4">
    <w:name w:val="Exhibit Head 4"/>
    <w:basedOn w:val="ExhibitHead3"/>
    <w:next w:val="BodyText"/>
    <w:uiPriority w:val="99"/>
    <w:rsid w:val="00984212"/>
    <w:rPr>
      <w:rFonts w:ascii="Lucida Bright" w:hAnsi="Lucida Bright"/>
      <w:i/>
    </w:rPr>
  </w:style>
  <w:style w:type="paragraph" w:customStyle="1" w:styleId="Tableletteredlist">
    <w:name w:val="Table lettered list"/>
    <w:basedOn w:val="TableText"/>
    <w:uiPriority w:val="99"/>
    <w:qFormat/>
    <w:rsid w:val="00984212"/>
    <w:pPr>
      <w:tabs>
        <w:tab w:val="left" w:pos="321"/>
      </w:tabs>
      <w:spacing w:after="0"/>
      <w:ind w:left="328" w:hanging="328"/>
    </w:pPr>
  </w:style>
  <w:style w:type="paragraph" w:customStyle="1" w:styleId="TableTextCentered">
    <w:name w:val="Table Text Centered"/>
    <w:basedOn w:val="TableText"/>
    <w:uiPriority w:val="99"/>
    <w:rsid w:val="00984212"/>
    <w:pPr>
      <w:jc w:val="center"/>
    </w:pPr>
  </w:style>
  <w:style w:type="paragraph" w:customStyle="1" w:styleId="TableParagraphAfterList">
    <w:name w:val="Table Paragraph After List"/>
    <w:basedOn w:val="TableParagraph-multiple-grafs"/>
    <w:next w:val="TableParagraph-multiple-grafs"/>
    <w:uiPriority w:val="99"/>
    <w:rsid w:val="00984212"/>
    <w:pPr>
      <w:spacing w:before="180" w:after="120"/>
    </w:pPr>
  </w:style>
  <w:style w:type="paragraph" w:customStyle="1" w:styleId="TableTextCenter">
    <w:name w:val="Table Text Center"/>
    <w:basedOn w:val="TableText"/>
    <w:uiPriority w:val="99"/>
    <w:rsid w:val="00984212"/>
    <w:pPr>
      <w:jc w:val="center"/>
    </w:pPr>
  </w:style>
  <w:style w:type="paragraph" w:customStyle="1" w:styleId="TOTTOFHeading">
    <w:name w:val="TOT/TOF Heading"/>
    <w:basedOn w:val="TOCHeading"/>
    <w:uiPriority w:val="99"/>
    <w:rsid w:val="00984212"/>
    <w:pPr>
      <w:keepNext w:val="0"/>
      <w:keepLines w:val="0"/>
      <w:spacing w:after="120" w:line="240" w:lineRule="auto"/>
    </w:pPr>
    <w:rPr>
      <w:rFonts w:ascii="Lucida Bright" w:eastAsiaTheme="minorHAnsi" w:hAnsi="Lucida Bright" w:cstheme="minorBidi"/>
      <w:b/>
      <w:sz w:val="24"/>
      <w:szCs w:val="28"/>
      <w:lang w:eastAsia="ja-JP"/>
    </w:rPr>
  </w:style>
  <w:style w:type="paragraph" w:customStyle="1" w:styleId="TableListBullet1">
    <w:name w:val="Table List Bullet 1"/>
    <w:basedOn w:val="TableParagraph"/>
    <w:uiPriority w:val="99"/>
    <w:qFormat/>
    <w:rsid w:val="00984212"/>
    <w:pPr>
      <w:numPr>
        <w:numId w:val="18"/>
      </w:numPr>
      <w:spacing w:after="60"/>
      <w:ind w:left="288" w:hanging="216"/>
      <w:contextualSpacing/>
    </w:pPr>
    <w:rPr>
      <w:rFonts w:eastAsia="Times New Roman" w:cs="Times New Roman"/>
    </w:rPr>
  </w:style>
  <w:style w:type="paragraph" w:customStyle="1" w:styleId="TableListBullet2">
    <w:name w:val="Table List Bullet 2"/>
    <w:basedOn w:val="TableListBullet1"/>
    <w:uiPriority w:val="99"/>
    <w:qFormat/>
    <w:rsid w:val="00984212"/>
    <w:pPr>
      <w:numPr>
        <w:numId w:val="19"/>
      </w:numPr>
      <w:spacing w:before="0"/>
      <w:ind w:left="504" w:hanging="216"/>
    </w:pPr>
  </w:style>
  <w:style w:type="paragraph" w:customStyle="1" w:styleId="TableTextReference">
    <w:name w:val="Table Text Reference"/>
    <w:basedOn w:val="TableParagraph"/>
    <w:uiPriority w:val="99"/>
    <w:rsid w:val="00984212"/>
    <w:pPr>
      <w:spacing w:before="360"/>
      <w:contextualSpacing/>
    </w:pPr>
    <w:rPr>
      <w:rFonts w:eastAsia="Times New Roman" w:cs="Times New Roman"/>
      <w:b/>
    </w:rPr>
  </w:style>
  <w:style w:type="paragraph" w:customStyle="1" w:styleId="TableParagraphBeforeList">
    <w:name w:val="Table Paragraph Before List"/>
    <w:basedOn w:val="TableParagraph"/>
    <w:uiPriority w:val="99"/>
    <w:qFormat/>
    <w:rsid w:val="00984212"/>
    <w:pPr>
      <w:spacing w:after="60"/>
    </w:pPr>
    <w:rPr>
      <w:rFonts w:eastAsia="Times New Roman" w:cs="Times New Roman"/>
    </w:rPr>
  </w:style>
  <w:style w:type="character" w:customStyle="1" w:styleId="HyperlinkedTitle">
    <w:name w:val="Hyperlinked Title"/>
    <w:basedOn w:val="Hyperlink"/>
    <w:uiPriority w:val="1"/>
    <w:rsid w:val="00984212"/>
    <w:rPr>
      <w:i/>
      <w:color w:val="0000FF"/>
      <w:u w:val="single"/>
    </w:rPr>
  </w:style>
  <w:style w:type="paragraph" w:customStyle="1" w:styleId="TableHeaderRowVertical">
    <w:name w:val="Table Header Row Vertical"/>
    <w:basedOn w:val="TableHeaderRow"/>
    <w:uiPriority w:val="99"/>
    <w:rsid w:val="00984212"/>
    <w:pPr>
      <w:spacing w:before="0" w:after="0"/>
      <w:ind w:left="72"/>
    </w:pPr>
  </w:style>
  <w:style w:type="table" w:styleId="GridTable4-Accent1">
    <w:name w:val="Grid Table 4 Accent 1"/>
    <w:basedOn w:val="TableNormal"/>
    <w:uiPriority w:val="49"/>
    <w:rsid w:val="00984212"/>
    <w:pPr>
      <w:widowControl w:val="0"/>
      <w:autoSpaceDE w:val="0"/>
      <w:autoSpaceDN w:val="0"/>
      <w:spacing w:before="0" w:after="0"/>
    </w:pPr>
    <w:rPr>
      <w:rFonts w:ascii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244061" w:themeFill="accent1" w:themeFillShade="80"/>
      </w:tcPr>
    </w:tblStylePr>
    <w:tblStylePr w:type="lastRow">
      <w:rPr>
        <w:b/>
        <w:bCs/>
      </w:rPr>
      <w:tblPr/>
      <w:tcPr>
        <w:tcBorders>
          <w:top w:val="double" w:sz="4" w:space="0" w:color="4F81BD" w:themeColor="accent1"/>
        </w:tcBorders>
      </w:tcPr>
    </w:tblStylePr>
    <w:tblStylePr w:type="firstCol">
      <w:rPr>
        <w:b/>
        <w:bCs/>
      </w:rPr>
      <w:tblPr/>
      <w:tcPr>
        <w:shd w:val="clear" w:color="auto" w:fill="DBE5F1" w:themeFill="accent1" w:themeFillTint="33"/>
      </w:tc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BeforeList">
    <w:name w:val="Body Text Before List"/>
    <w:basedOn w:val="BodyText"/>
    <w:next w:val="ListBullet"/>
    <w:uiPriority w:val="99"/>
    <w:qFormat/>
    <w:rsid w:val="00984212"/>
    <w:pPr>
      <w:spacing w:line="264" w:lineRule="auto"/>
    </w:pPr>
    <w:rPr>
      <w:sz w:val="22"/>
    </w:rPr>
  </w:style>
  <w:style w:type="paragraph" w:customStyle="1" w:styleId="BodyTextBetweenLists">
    <w:name w:val="Body Text Between Lists"/>
    <w:basedOn w:val="BodyText"/>
    <w:next w:val="ListBullet"/>
    <w:uiPriority w:val="99"/>
    <w:qFormat/>
    <w:rsid w:val="00984212"/>
    <w:pPr>
      <w:spacing w:before="240" w:line="264" w:lineRule="auto"/>
    </w:pPr>
    <w:rPr>
      <w:sz w:val="22"/>
    </w:rPr>
  </w:style>
  <w:style w:type="paragraph" w:customStyle="1" w:styleId="CaptionTableCentered">
    <w:name w:val="Caption Table Centered"/>
    <w:basedOn w:val="CaptionTable"/>
    <w:uiPriority w:val="99"/>
    <w:rsid w:val="00984212"/>
    <w:pPr>
      <w:spacing w:before="120"/>
      <w:jc w:val="center"/>
    </w:pPr>
  </w:style>
  <w:style w:type="paragraph" w:customStyle="1" w:styleId="ListLetterSmall">
    <w:name w:val="List Letter Small"/>
    <w:basedOn w:val="ListParagraph"/>
    <w:uiPriority w:val="99"/>
    <w:rsid w:val="00984212"/>
    <w:pPr>
      <w:numPr>
        <w:numId w:val="17"/>
      </w:numPr>
      <w:spacing w:after="80" w:line="264" w:lineRule="auto"/>
      <w:contextualSpacing w:val="0"/>
    </w:pPr>
    <w:rPr>
      <w:rFonts w:ascii="Verdana" w:hAnsi="Verdana"/>
      <w:szCs w:val="22"/>
    </w:rPr>
  </w:style>
  <w:style w:type="paragraph" w:customStyle="1" w:styleId="TableHeaderRowNotBold">
    <w:name w:val="Table Header Row Not Bold"/>
    <w:basedOn w:val="TableHeaderRow"/>
    <w:uiPriority w:val="99"/>
    <w:qFormat/>
    <w:rsid w:val="00984212"/>
    <w:rPr>
      <w:b w:val="0"/>
    </w:rPr>
  </w:style>
  <w:style w:type="paragraph" w:customStyle="1" w:styleId="Subheading1">
    <w:name w:val="Subheading 1"/>
    <w:basedOn w:val="BodyText"/>
    <w:uiPriority w:val="99"/>
    <w:rsid w:val="00984212"/>
    <w:pPr>
      <w:spacing w:before="360" w:line="264" w:lineRule="auto"/>
    </w:pPr>
    <w:rPr>
      <w:rFonts w:ascii="Verdana" w:hAnsi="Verdana"/>
      <w:b/>
      <w:bCs/>
      <w:sz w:val="32"/>
      <w:szCs w:val="32"/>
    </w:rPr>
  </w:style>
  <w:style w:type="character" w:customStyle="1" w:styleId="FootnoteNumber">
    <w:name w:val="Footnote Number"/>
    <w:basedOn w:val="FootnoteReference"/>
    <w:uiPriority w:val="1"/>
    <w:rsid w:val="00984212"/>
    <w:rPr>
      <w:rFonts w:ascii="Verdana" w:hAnsi="Verdana"/>
      <w:szCs w:val="22"/>
      <w:vertAlign w:val="baseline"/>
    </w:rPr>
  </w:style>
  <w:style w:type="paragraph" w:customStyle="1" w:styleId="ListLetterSmall2">
    <w:name w:val="List Letter Small 2"/>
    <w:basedOn w:val="ListLetterSmall"/>
    <w:uiPriority w:val="99"/>
    <w:rsid w:val="0098421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ms.lcr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80.tceq.texas.gov/SwqmisPublic/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5509</Words>
  <Characters>31407</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Rushin</dc:creator>
  <cp:keywords/>
  <dc:description/>
  <cp:lastModifiedBy>Robert Speight</cp:lastModifiedBy>
  <cp:revision>2</cp:revision>
  <dcterms:created xsi:type="dcterms:W3CDTF">2026-02-09T15:30:00Z</dcterms:created>
  <dcterms:modified xsi:type="dcterms:W3CDTF">2026-02-09T15:30:00Z</dcterms:modified>
</cp:coreProperties>
</file>